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C73" w:rsidRPr="00662BA1" w:rsidRDefault="00176C73" w:rsidP="00176C73">
      <w:pPr>
        <w:tabs>
          <w:tab w:val="clear" w:pos="1440"/>
          <w:tab w:val="clear" w:pos="4320"/>
          <w:tab w:val="clear" w:pos="9072"/>
        </w:tabs>
        <w:autoSpaceDE w:val="0"/>
        <w:autoSpaceDN w:val="0"/>
        <w:adjustRightInd w:val="0"/>
        <w:snapToGrid/>
        <w:jc w:val="right"/>
        <w:rPr>
          <w:szCs w:val="28"/>
        </w:rPr>
      </w:pPr>
      <w:r w:rsidRPr="00662BA1">
        <w:rPr>
          <w:szCs w:val="28"/>
        </w:rPr>
        <w:t>CACC 101/2014</w:t>
      </w:r>
    </w:p>
    <w:p w:rsidR="00ED68D5" w:rsidRPr="00662BA1" w:rsidRDefault="00ED68D5" w:rsidP="00ED68D5">
      <w:pPr>
        <w:tabs>
          <w:tab w:val="clear" w:pos="4320"/>
          <w:tab w:val="clear" w:pos="9072"/>
        </w:tabs>
        <w:jc w:val="right"/>
        <w:rPr>
          <w:szCs w:val="28"/>
        </w:rPr>
      </w:pPr>
    </w:p>
    <w:p w:rsidR="00ED68D5" w:rsidRPr="00662BA1" w:rsidRDefault="00ED68D5" w:rsidP="00ED68D5">
      <w:pPr>
        <w:tabs>
          <w:tab w:val="clear" w:pos="4320"/>
          <w:tab w:val="clear" w:pos="9072"/>
        </w:tabs>
        <w:rPr>
          <w:szCs w:val="28"/>
        </w:rPr>
      </w:pPr>
    </w:p>
    <w:p w:rsidR="00ED68D5" w:rsidRPr="00662BA1" w:rsidRDefault="00ED68D5" w:rsidP="00ED68D5">
      <w:pPr>
        <w:tabs>
          <w:tab w:val="clear" w:pos="4320"/>
          <w:tab w:val="clear" w:pos="9072"/>
        </w:tabs>
        <w:spacing w:line="360" w:lineRule="auto"/>
        <w:jc w:val="center"/>
        <w:rPr>
          <w:b/>
          <w:szCs w:val="28"/>
        </w:rPr>
      </w:pPr>
      <w:r w:rsidRPr="00662BA1">
        <w:rPr>
          <w:b/>
          <w:szCs w:val="28"/>
        </w:rPr>
        <w:t>IN THE HIGH COURT OF THE</w:t>
      </w:r>
    </w:p>
    <w:p w:rsidR="00ED68D5" w:rsidRPr="00662BA1" w:rsidRDefault="00ED68D5" w:rsidP="00ED68D5">
      <w:pPr>
        <w:pStyle w:val="Heading1"/>
        <w:tabs>
          <w:tab w:val="clear" w:pos="4320"/>
          <w:tab w:val="clear" w:pos="9072"/>
        </w:tabs>
        <w:spacing w:line="360" w:lineRule="auto"/>
        <w:jc w:val="center"/>
        <w:rPr>
          <w:b/>
          <w:i w:val="0"/>
          <w:szCs w:val="28"/>
        </w:rPr>
      </w:pPr>
      <w:r w:rsidRPr="00662BA1">
        <w:rPr>
          <w:b/>
          <w:i w:val="0"/>
          <w:szCs w:val="28"/>
        </w:rPr>
        <w:t>HONG KONG SPECIAL ADMINISTRATIVE REGION</w:t>
      </w:r>
    </w:p>
    <w:p w:rsidR="00225A5A" w:rsidRDefault="00ED68D5" w:rsidP="00225A5A">
      <w:pPr>
        <w:pStyle w:val="Heading1"/>
        <w:tabs>
          <w:tab w:val="clear" w:pos="4320"/>
          <w:tab w:val="clear" w:pos="9072"/>
        </w:tabs>
        <w:spacing w:line="360" w:lineRule="auto"/>
        <w:jc w:val="center"/>
        <w:rPr>
          <w:b/>
          <w:i w:val="0"/>
          <w:szCs w:val="28"/>
        </w:rPr>
      </w:pPr>
      <w:r w:rsidRPr="00662BA1">
        <w:rPr>
          <w:b/>
          <w:i w:val="0"/>
          <w:szCs w:val="28"/>
        </w:rPr>
        <w:t>COURT OF APPEAL</w:t>
      </w:r>
    </w:p>
    <w:p w:rsidR="00225A5A" w:rsidRPr="00225A5A" w:rsidRDefault="00ED68D5" w:rsidP="00225A5A">
      <w:pPr>
        <w:pStyle w:val="Heading1"/>
        <w:tabs>
          <w:tab w:val="clear" w:pos="4320"/>
          <w:tab w:val="clear" w:pos="9072"/>
        </w:tabs>
        <w:spacing w:line="360" w:lineRule="auto"/>
        <w:jc w:val="center"/>
        <w:rPr>
          <w:i w:val="0"/>
        </w:rPr>
      </w:pPr>
      <w:proofErr w:type="gramStart"/>
      <w:r w:rsidRPr="00225A5A">
        <w:rPr>
          <w:i w:val="0"/>
          <w:szCs w:val="28"/>
        </w:rPr>
        <w:t>CRIMINAL APPEAL NO</w:t>
      </w:r>
      <w:r w:rsidRPr="00225A5A">
        <w:rPr>
          <w:rFonts w:hint="eastAsia"/>
          <w:i w:val="0"/>
          <w:szCs w:val="28"/>
        </w:rPr>
        <w:t>.</w:t>
      </w:r>
      <w:proofErr w:type="gramEnd"/>
      <w:r w:rsidRPr="00225A5A">
        <w:rPr>
          <w:i w:val="0"/>
          <w:szCs w:val="28"/>
        </w:rPr>
        <w:t xml:space="preserve"> </w:t>
      </w:r>
      <w:r w:rsidR="00176C73" w:rsidRPr="00225A5A">
        <w:rPr>
          <w:i w:val="0"/>
          <w:szCs w:val="28"/>
        </w:rPr>
        <w:t>101</w:t>
      </w:r>
      <w:r w:rsidRPr="00225A5A">
        <w:rPr>
          <w:rFonts w:eastAsia="PMingLiU"/>
          <w:i w:val="0"/>
          <w:lang w:eastAsia="zh-TW"/>
        </w:rPr>
        <w:t xml:space="preserve"> </w:t>
      </w:r>
      <w:r w:rsidRPr="00225A5A">
        <w:rPr>
          <w:rFonts w:hint="eastAsia"/>
          <w:i w:val="0"/>
        </w:rPr>
        <w:t>OF 20</w:t>
      </w:r>
      <w:r w:rsidR="00176C73" w:rsidRPr="00225A5A">
        <w:rPr>
          <w:i w:val="0"/>
        </w:rPr>
        <w:t>14</w:t>
      </w:r>
    </w:p>
    <w:p w:rsidR="00ED68D5" w:rsidRPr="00225A5A" w:rsidRDefault="00176C73" w:rsidP="00225A5A">
      <w:pPr>
        <w:pStyle w:val="Heading1"/>
        <w:tabs>
          <w:tab w:val="clear" w:pos="4320"/>
          <w:tab w:val="clear" w:pos="9072"/>
        </w:tabs>
        <w:spacing w:line="360" w:lineRule="auto"/>
        <w:jc w:val="center"/>
        <w:rPr>
          <w:i w:val="0"/>
        </w:rPr>
      </w:pPr>
      <w:r w:rsidRPr="00225A5A">
        <w:rPr>
          <w:i w:val="0"/>
          <w:szCs w:val="28"/>
        </w:rPr>
        <w:t>(ON APPEAL FROM D</w:t>
      </w:r>
      <w:r w:rsidRPr="00225A5A">
        <w:rPr>
          <w:rFonts w:hint="eastAsia"/>
          <w:i w:val="0"/>
        </w:rPr>
        <w:t xml:space="preserve">CCC </w:t>
      </w:r>
      <w:r w:rsidRPr="00225A5A">
        <w:rPr>
          <w:i w:val="0"/>
          <w:szCs w:val="28"/>
        </w:rPr>
        <w:t>NO</w:t>
      </w:r>
      <w:r w:rsidRPr="00225A5A">
        <w:rPr>
          <w:rFonts w:hint="eastAsia"/>
          <w:i w:val="0"/>
          <w:szCs w:val="28"/>
        </w:rPr>
        <w:t>.</w:t>
      </w:r>
      <w:r w:rsidRPr="00225A5A">
        <w:rPr>
          <w:i w:val="0"/>
          <w:szCs w:val="28"/>
        </w:rPr>
        <w:t xml:space="preserve"> </w:t>
      </w:r>
      <w:r w:rsidRPr="00225A5A">
        <w:rPr>
          <w:rFonts w:cs="宋体"/>
          <w:i w:val="0"/>
          <w:color w:val="000000"/>
          <w:lang w:val="en-US"/>
        </w:rPr>
        <w:t>860</w:t>
      </w:r>
      <w:r w:rsidR="000D371B" w:rsidRPr="00225A5A">
        <w:rPr>
          <w:rFonts w:eastAsia="PMingLiU"/>
          <w:i w:val="0"/>
          <w:lang w:eastAsia="zh-TW"/>
        </w:rPr>
        <w:t xml:space="preserve"> </w:t>
      </w:r>
      <w:r w:rsidR="00ED68D5" w:rsidRPr="00225A5A">
        <w:rPr>
          <w:rFonts w:hint="eastAsia"/>
          <w:i w:val="0"/>
        </w:rPr>
        <w:t xml:space="preserve">OF </w:t>
      </w:r>
      <w:r w:rsidRPr="00225A5A">
        <w:rPr>
          <w:rFonts w:cs="宋体"/>
          <w:i w:val="0"/>
          <w:color w:val="000000"/>
          <w:lang w:val="en-US"/>
        </w:rPr>
        <w:t>2011</w:t>
      </w:r>
      <w:r w:rsidR="00ED68D5" w:rsidRPr="00225A5A">
        <w:rPr>
          <w:rFonts w:hint="eastAsia"/>
          <w:i w:val="0"/>
        </w:rPr>
        <w:t>)</w:t>
      </w:r>
    </w:p>
    <w:p w:rsidR="00ED68D5" w:rsidRPr="00662BA1" w:rsidRDefault="00ED68D5" w:rsidP="00ED68D5">
      <w:pPr>
        <w:jc w:val="center"/>
        <w:rPr>
          <w:szCs w:val="28"/>
        </w:rPr>
      </w:pPr>
      <w:r w:rsidRPr="00662BA1">
        <w:rPr>
          <w:szCs w:val="28"/>
        </w:rPr>
        <w:t>____________</w:t>
      </w:r>
    </w:p>
    <w:p w:rsidR="00ED68D5" w:rsidRPr="00662BA1" w:rsidRDefault="00ED68D5" w:rsidP="00ED68D5">
      <w:pPr>
        <w:tabs>
          <w:tab w:val="clear" w:pos="4320"/>
          <w:tab w:val="clear" w:pos="9072"/>
        </w:tabs>
        <w:spacing w:line="240" w:lineRule="atLeast"/>
        <w:rPr>
          <w:szCs w:val="28"/>
        </w:rPr>
      </w:pPr>
    </w:p>
    <w:p w:rsidR="00ED68D5" w:rsidRPr="00662BA1" w:rsidRDefault="00ED68D5" w:rsidP="00ED68D5">
      <w:pPr>
        <w:spacing w:line="240" w:lineRule="atLeast"/>
        <w:rPr>
          <w:szCs w:val="28"/>
        </w:rPr>
      </w:pPr>
      <w:r w:rsidRPr="00662BA1">
        <w:rPr>
          <w:szCs w:val="28"/>
        </w:rPr>
        <w:t>BETWEEN</w:t>
      </w:r>
    </w:p>
    <w:p w:rsidR="00ED68D5" w:rsidRPr="00662BA1" w:rsidRDefault="00ED68D5" w:rsidP="00ED68D5">
      <w:pPr>
        <w:spacing w:line="240" w:lineRule="atLeast"/>
        <w:rPr>
          <w:szCs w:val="28"/>
        </w:rPr>
      </w:pPr>
    </w:p>
    <w:tbl>
      <w:tblPr>
        <w:tblW w:w="6750" w:type="dxa"/>
        <w:tblInd w:w="2088" w:type="dxa"/>
        <w:tblLook w:val="04A0"/>
      </w:tblPr>
      <w:tblGrid>
        <w:gridCol w:w="4590"/>
        <w:gridCol w:w="2160"/>
      </w:tblGrid>
      <w:tr w:rsidR="00ED68D5" w:rsidRPr="00662BA1" w:rsidTr="00CB782F">
        <w:tc>
          <w:tcPr>
            <w:tcW w:w="4590" w:type="dxa"/>
          </w:tcPr>
          <w:p w:rsidR="00ED68D5" w:rsidRPr="00662BA1" w:rsidRDefault="00ED68D5" w:rsidP="00CB782F">
            <w:pPr>
              <w:tabs>
                <w:tab w:val="clear" w:pos="4320"/>
                <w:tab w:val="left" w:pos="851"/>
                <w:tab w:val="right" w:pos="8504"/>
              </w:tabs>
              <w:ind w:left="-18" w:right="162" w:firstLine="18"/>
              <w:jc w:val="center"/>
              <w:rPr>
                <w:szCs w:val="28"/>
              </w:rPr>
            </w:pPr>
            <w:r w:rsidRPr="00662BA1">
              <w:rPr>
                <w:szCs w:val="28"/>
              </w:rPr>
              <w:t>HKSAR</w:t>
            </w:r>
          </w:p>
          <w:p w:rsidR="00ED68D5" w:rsidRPr="00662BA1" w:rsidRDefault="00ED68D5" w:rsidP="00CB782F">
            <w:pPr>
              <w:tabs>
                <w:tab w:val="clear" w:pos="4320"/>
              </w:tabs>
              <w:spacing w:line="240" w:lineRule="atLeast"/>
              <w:ind w:left="-18" w:firstLine="18"/>
              <w:jc w:val="center"/>
              <w:rPr>
                <w:szCs w:val="28"/>
              </w:rPr>
            </w:pPr>
          </w:p>
        </w:tc>
        <w:tc>
          <w:tcPr>
            <w:tcW w:w="2160" w:type="dxa"/>
          </w:tcPr>
          <w:p w:rsidR="00ED68D5" w:rsidRPr="00662BA1" w:rsidRDefault="00ED68D5" w:rsidP="00CB782F">
            <w:pPr>
              <w:tabs>
                <w:tab w:val="clear" w:pos="1440"/>
                <w:tab w:val="clear" w:pos="4320"/>
              </w:tabs>
              <w:spacing w:line="240" w:lineRule="atLeast"/>
              <w:jc w:val="right"/>
              <w:rPr>
                <w:szCs w:val="28"/>
              </w:rPr>
            </w:pPr>
            <w:r w:rsidRPr="00662BA1">
              <w:rPr>
                <w:szCs w:val="28"/>
              </w:rPr>
              <w:t>Respondent</w:t>
            </w:r>
          </w:p>
        </w:tc>
      </w:tr>
      <w:tr w:rsidR="00ED68D5" w:rsidRPr="00662BA1" w:rsidTr="00CB782F">
        <w:tc>
          <w:tcPr>
            <w:tcW w:w="4590" w:type="dxa"/>
          </w:tcPr>
          <w:p w:rsidR="00ED68D5" w:rsidRPr="00662BA1" w:rsidRDefault="00ED68D5" w:rsidP="00CB782F">
            <w:pPr>
              <w:tabs>
                <w:tab w:val="clear" w:pos="4320"/>
                <w:tab w:val="left" w:pos="851"/>
                <w:tab w:val="right" w:pos="8504"/>
              </w:tabs>
              <w:ind w:left="-18" w:right="162" w:firstLine="18"/>
              <w:jc w:val="center"/>
              <w:rPr>
                <w:szCs w:val="28"/>
              </w:rPr>
            </w:pPr>
            <w:r w:rsidRPr="00662BA1">
              <w:rPr>
                <w:szCs w:val="28"/>
              </w:rPr>
              <w:t>and</w:t>
            </w:r>
          </w:p>
          <w:p w:rsidR="00176C73" w:rsidRPr="00662BA1" w:rsidRDefault="00176C73" w:rsidP="00CB782F">
            <w:pPr>
              <w:tabs>
                <w:tab w:val="clear" w:pos="4320"/>
                <w:tab w:val="left" w:pos="851"/>
                <w:tab w:val="right" w:pos="8504"/>
              </w:tabs>
              <w:ind w:left="-18" w:right="162" w:firstLine="18"/>
              <w:jc w:val="center"/>
              <w:rPr>
                <w:szCs w:val="28"/>
              </w:rPr>
            </w:pPr>
          </w:p>
        </w:tc>
        <w:tc>
          <w:tcPr>
            <w:tcW w:w="2160" w:type="dxa"/>
          </w:tcPr>
          <w:p w:rsidR="00ED68D5" w:rsidRPr="00662BA1" w:rsidRDefault="00ED68D5" w:rsidP="00CB782F">
            <w:pPr>
              <w:tabs>
                <w:tab w:val="clear" w:pos="1440"/>
                <w:tab w:val="clear" w:pos="4320"/>
              </w:tabs>
              <w:spacing w:line="240" w:lineRule="atLeast"/>
              <w:jc w:val="right"/>
              <w:rPr>
                <w:szCs w:val="28"/>
              </w:rPr>
            </w:pPr>
          </w:p>
        </w:tc>
      </w:tr>
      <w:tr w:rsidR="00ED68D5" w:rsidRPr="00662BA1" w:rsidTr="00CB782F">
        <w:tc>
          <w:tcPr>
            <w:tcW w:w="4590" w:type="dxa"/>
          </w:tcPr>
          <w:p w:rsidR="00176C73" w:rsidRPr="00662BA1" w:rsidRDefault="00176C73" w:rsidP="00CB782F">
            <w:pPr>
              <w:tabs>
                <w:tab w:val="clear" w:pos="4320"/>
                <w:tab w:val="left" w:pos="851"/>
                <w:tab w:val="right" w:pos="8504"/>
              </w:tabs>
              <w:ind w:left="-18" w:right="162" w:firstLine="18"/>
              <w:jc w:val="center"/>
              <w:rPr>
                <w:szCs w:val="28"/>
              </w:rPr>
            </w:pPr>
            <w:r w:rsidRPr="00662BA1">
              <w:rPr>
                <w:szCs w:val="28"/>
              </w:rPr>
              <w:t>YEUNG KA SING, CARSON</w:t>
            </w:r>
          </w:p>
          <w:p w:rsidR="00ED68D5" w:rsidRPr="00662BA1" w:rsidRDefault="00176C73" w:rsidP="00CB782F">
            <w:pPr>
              <w:tabs>
                <w:tab w:val="clear" w:pos="4320"/>
                <w:tab w:val="left" w:pos="851"/>
                <w:tab w:val="right" w:pos="8504"/>
              </w:tabs>
              <w:ind w:left="-18" w:right="162" w:firstLine="18"/>
              <w:jc w:val="center"/>
              <w:rPr>
                <w:szCs w:val="28"/>
              </w:rPr>
            </w:pPr>
            <w:r w:rsidRPr="00662BA1">
              <w:rPr>
                <w:szCs w:val="28"/>
              </w:rPr>
              <w:t>(</w:t>
            </w:r>
            <w:r w:rsidRPr="00662BA1">
              <w:rPr>
                <w:szCs w:val="24"/>
                <w:lang w:val="en-US"/>
              </w:rPr>
              <w:t>楊家誠</w:t>
            </w:r>
            <w:r w:rsidRPr="00662BA1">
              <w:rPr>
                <w:szCs w:val="24"/>
                <w:lang w:val="en-US"/>
              </w:rPr>
              <w:t>)</w:t>
            </w:r>
          </w:p>
        </w:tc>
        <w:tc>
          <w:tcPr>
            <w:tcW w:w="2160" w:type="dxa"/>
          </w:tcPr>
          <w:p w:rsidR="00ED68D5" w:rsidRPr="00662BA1" w:rsidRDefault="00ED68D5" w:rsidP="00CB782F">
            <w:pPr>
              <w:tabs>
                <w:tab w:val="clear" w:pos="1440"/>
                <w:tab w:val="clear" w:pos="4320"/>
              </w:tabs>
              <w:spacing w:line="240" w:lineRule="atLeast"/>
              <w:jc w:val="right"/>
              <w:rPr>
                <w:szCs w:val="28"/>
              </w:rPr>
            </w:pPr>
            <w:r w:rsidRPr="00662BA1">
              <w:rPr>
                <w:szCs w:val="28"/>
              </w:rPr>
              <w:t>Applicant</w:t>
            </w:r>
          </w:p>
        </w:tc>
      </w:tr>
      <w:tr w:rsidR="00ED68D5" w:rsidRPr="00662BA1" w:rsidTr="00CB782F">
        <w:tc>
          <w:tcPr>
            <w:tcW w:w="4590" w:type="dxa"/>
          </w:tcPr>
          <w:p w:rsidR="00ED68D5" w:rsidRPr="00662BA1" w:rsidRDefault="00ED68D5" w:rsidP="00CB782F">
            <w:pPr>
              <w:tabs>
                <w:tab w:val="clear" w:pos="4320"/>
                <w:tab w:val="left" w:pos="851"/>
                <w:tab w:val="right" w:pos="8504"/>
              </w:tabs>
              <w:ind w:left="-18" w:right="162" w:firstLine="18"/>
              <w:jc w:val="center"/>
              <w:rPr>
                <w:szCs w:val="28"/>
              </w:rPr>
            </w:pPr>
          </w:p>
        </w:tc>
        <w:tc>
          <w:tcPr>
            <w:tcW w:w="2160" w:type="dxa"/>
          </w:tcPr>
          <w:p w:rsidR="00ED68D5" w:rsidRPr="00662BA1" w:rsidRDefault="00ED68D5" w:rsidP="00CB782F">
            <w:pPr>
              <w:tabs>
                <w:tab w:val="clear" w:pos="1440"/>
                <w:tab w:val="clear" w:pos="4320"/>
              </w:tabs>
              <w:spacing w:line="240" w:lineRule="atLeast"/>
              <w:jc w:val="right"/>
              <w:rPr>
                <w:szCs w:val="28"/>
              </w:rPr>
            </w:pPr>
          </w:p>
        </w:tc>
      </w:tr>
    </w:tbl>
    <w:p w:rsidR="00ED68D5" w:rsidRPr="00662BA1" w:rsidRDefault="00ED68D5" w:rsidP="00ED68D5">
      <w:pPr>
        <w:jc w:val="center"/>
        <w:rPr>
          <w:szCs w:val="28"/>
        </w:rPr>
      </w:pPr>
      <w:r w:rsidRPr="00662BA1">
        <w:rPr>
          <w:szCs w:val="28"/>
        </w:rPr>
        <w:t>____________</w:t>
      </w:r>
    </w:p>
    <w:p w:rsidR="00ED68D5" w:rsidRPr="00662BA1" w:rsidRDefault="00ED68D5" w:rsidP="00ED68D5">
      <w:pPr>
        <w:tabs>
          <w:tab w:val="clear" w:pos="4320"/>
          <w:tab w:val="clear" w:pos="9072"/>
        </w:tabs>
        <w:rPr>
          <w:szCs w:val="28"/>
        </w:rPr>
      </w:pPr>
    </w:p>
    <w:p w:rsidR="00ED68D5" w:rsidRPr="00662BA1" w:rsidRDefault="00ED68D5" w:rsidP="00ED68D5">
      <w:pPr>
        <w:rPr>
          <w:szCs w:val="28"/>
        </w:rPr>
      </w:pPr>
    </w:p>
    <w:p w:rsidR="00723FFA" w:rsidRPr="00662BA1" w:rsidRDefault="00723FFA" w:rsidP="00723FFA">
      <w:pPr>
        <w:spacing w:line="560" w:lineRule="exact"/>
        <w:rPr>
          <w:szCs w:val="28"/>
        </w:rPr>
      </w:pPr>
      <w:proofErr w:type="gramStart"/>
      <w:r w:rsidRPr="00662BA1">
        <w:rPr>
          <w:szCs w:val="28"/>
        </w:rPr>
        <w:t>Before</w:t>
      </w:r>
      <w:r w:rsidR="000C6B52" w:rsidRPr="00662BA1">
        <w:rPr>
          <w:szCs w:val="28"/>
        </w:rPr>
        <w:t xml:space="preserve"> </w:t>
      </w:r>
      <w:r w:rsidRPr="00662BA1">
        <w:rPr>
          <w:szCs w:val="28"/>
        </w:rPr>
        <w:t>:</w:t>
      </w:r>
      <w:proofErr w:type="gramEnd"/>
      <w:r w:rsidRPr="00662BA1">
        <w:rPr>
          <w:szCs w:val="28"/>
        </w:rPr>
        <w:t xml:space="preserve"> Hon </w:t>
      </w:r>
      <w:proofErr w:type="spellStart"/>
      <w:r w:rsidRPr="00662BA1">
        <w:rPr>
          <w:szCs w:val="28"/>
        </w:rPr>
        <w:t>Lunn</w:t>
      </w:r>
      <w:proofErr w:type="spellEnd"/>
      <w:r w:rsidRPr="00662BA1">
        <w:rPr>
          <w:szCs w:val="28"/>
        </w:rPr>
        <w:t xml:space="preserve"> VP, </w:t>
      </w:r>
      <w:proofErr w:type="spellStart"/>
      <w:r w:rsidRPr="00662BA1">
        <w:rPr>
          <w:szCs w:val="28"/>
        </w:rPr>
        <w:t>Macrae</w:t>
      </w:r>
      <w:proofErr w:type="spellEnd"/>
      <w:r w:rsidRPr="00662BA1">
        <w:rPr>
          <w:szCs w:val="28"/>
        </w:rPr>
        <w:t xml:space="preserve"> and </w:t>
      </w:r>
      <w:proofErr w:type="spellStart"/>
      <w:r w:rsidRPr="00662BA1">
        <w:rPr>
          <w:szCs w:val="28"/>
        </w:rPr>
        <w:t>McWalters</w:t>
      </w:r>
      <w:proofErr w:type="spellEnd"/>
      <w:r w:rsidRPr="00662BA1">
        <w:rPr>
          <w:szCs w:val="28"/>
        </w:rPr>
        <w:t xml:space="preserve"> </w:t>
      </w:r>
      <w:r w:rsidRPr="00662BA1">
        <w:rPr>
          <w:rFonts w:hint="eastAsia"/>
          <w:szCs w:val="28"/>
        </w:rPr>
        <w:t>J</w:t>
      </w:r>
      <w:r w:rsidRPr="00662BA1">
        <w:rPr>
          <w:szCs w:val="28"/>
        </w:rPr>
        <w:t>JA in Court</w:t>
      </w:r>
    </w:p>
    <w:p w:rsidR="00ED68D5" w:rsidRPr="00662BA1" w:rsidRDefault="00ED68D5" w:rsidP="00FC3D5B">
      <w:pPr>
        <w:tabs>
          <w:tab w:val="clear" w:pos="4320"/>
          <w:tab w:val="clear" w:pos="9072"/>
        </w:tabs>
        <w:snapToGrid/>
        <w:spacing w:line="500" w:lineRule="exact"/>
        <w:rPr>
          <w:kern w:val="28"/>
        </w:rPr>
      </w:pPr>
      <w:r w:rsidRPr="00662BA1">
        <w:rPr>
          <w:kern w:val="28"/>
        </w:rPr>
        <w:t>Date</w:t>
      </w:r>
      <w:r w:rsidR="00176C73" w:rsidRPr="00662BA1">
        <w:rPr>
          <w:kern w:val="28"/>
        </w:rPr>
        <w:t>s</w:t>
      </w:r>
      <w:r w:rsidR="005B3293" w:rsidRPr="00662BA1">
        <w:rPr>
          <w:kern w:val="28"/>
        </w:rPr>
        <w:t xml:space="preserve"> </w:t>
      </w:r>
      <w:r w:rsidRPr="00662BA1">
        <w:rPr>
          <w:kern w:val="28"/>
        </w:rPr>
        <w:t xml:space="preserve">of </w:t>
      </w:r>
      <w:proofErr w:type="gramStart"/>
      <w:r w:rsidRPr="00662BA1">
        <w:rPr>
          <w:kern w:val="28"/>
        </w:rPr>
        <w:t>Hearing</w:t>
      </w:r>
      <w:r w:rsidRPr="00662BA1">
        <w:rPr>
          <w:rFonts w:eastAsia="PMingLiU" w:hint="eastAsia"/>
          <w:kern w:val="28"/>
          <w:lang w:eastAsia="zh-TW"/>
        </w:rPr>
        <w:t xml:space="preserve"> </w:t>
      </w:r>
      <w:r w:rsidRPr="00662BA1">
        <w:rPr>
          <w:rFonts w:hint="eastAsia"/>
          <w:kern w:val="28"/>
        </w:rPr>
        <w:t>:</w:t>
      </w:r>
      <w:proofErr w:type="gramEnd"/>
      <w:r w:rsidRPr="00662BA1">
        <w:rPr>
          <w:rFonts w:eastAsia="PMingLiU" w:hint="eastAsia"/>
          <w:kern w:val="28"/>
          <w:lang w:eastAsia="zh-TW"/>
        </w:rPr>
        <w:t xml:space="preserve"> </w:t>
      </w:r>
      <w:r w:rsidR="00176C73" w:rsidRPr="00662BA1">
        <w:rPr>
          <w:kern w:val="28"/>
        </w:rPr>
        <w:t>11 and 12 March 2015</w:t>
      </w:r>
    </w:p>
    <w:p w:rsidR="00ED68D5" w:rsidRPr="00662BA1" w:rsidRDefault="00ED68D5" w:rsidP="000C6B52">
      <w:pPr>
        <w:tabs>
          <w:tab w:val="clear" w:pos="4320"/>
          <w:tab w:val="clear" w:pos="9072"/>
        </w:tabs>
        <w:snapToGrid/>
        <w:spacing w:line="500" w:lineRule="exact"/>
        <w:rPr>
          <w:rFonts w:eastAsia="PMingLiU"/>
          <w:kern w:val="28"/>
          <w:lang w:eastAsia="zh-TW"/>
        </w:rPr>
      </w:pPr>
      <w:r w:rsidRPr="00662BA1">
        <w:rPr>
          <w:kern w:val="28"/>
        </w:rPr>
        <w:t>Date of Judgment</w:t>
      </w:r>
      <w:r w:rsidRPr="00662BA1">
        <w:rPr>
          <w:rFonts w:eastAsia="PMingLiU" w:hint="eastAsia"/>
          <w:kern w:val="28"/>
          <w:lang w:eastAsia="zh-TW"/>
        </w:rPr>
        <w:t xml:space="preserve"> </w:t>
      </w:r>
      <w:r w:rsidRPr="00662BA1">
        <w:rPr>
          <w:kern w:val="28"/>
        </w:rPr>
        <w:t>:</w:t>
      </w:r>
      <w:r w:rsidRPr="00662BA1">
        <w:rPr>
          <w:rFonts w:eastAsia="PMingLiU" w:hint="eastAsia"/>
          <w:kern w:val="28"/>
          <w:lang w:eastAsia="zh-TW"/>
        </w:rPr>
        <w:t xml:space="preserve"> </w:t>
      </w:r>
      <w:r w:rsidR="004613DB">
        <w:rPr>
          <w:rFonts w:eastAsia="PMingLiU"/>
          <w:kern w:val="28"/>
          <w:lang w:eastAsia="zh-TW"/>
        </w:rPr>
        <w:t xml:space="preserve">13 May </w:t>
      </w:r>
      <w:r w:rsidR="00176C73" w:rsidRPr="00662BA1">
        <w:rPr>
          <w:rFonts w:eastAsia="PMingLiU"/>
          <w:kern w:val="28"/>
          <w:lang w:eastAsia="zh-TW"/>
        </w:rPr>
        <w:t>2015</w:t>
      </w:r>
    </w:p>
    <w:p w:rsidR="000C6B52" w:rsidRPr="00662BA1" w:rsidRDefault="000C6B52" w:rsidP="000C6B52">
      <w:pPr>
        <w:tabs>
          <w:tab w:val="clear" w:pos="4320"/>
          <w:tab w:val="clear" w:pos="9072"/>
        </w:tabs>
        <w:snapToGrid/>
        <w:spacing w:line="500" w:lineRule="exact"/>
        <w:rPr>
          <w:rFonts w:eastAsia="PMingLiU"/>
          <w:kern w:val="28"/>
          <w:lang w:eastAsia="zh-TW"/>
        </w:rPr>
      </w:pPr>
    </w:p>
    <w:p w:rsidR="00ED68D5" w:rsidRPr="00662BA1" w:rsidRDefault="00ED68D5" w:rsidP="00ED68D5">
      <w:pPr>
        <w:tabs>
          <w:tab w:val="clear" w:pos="4320"/>
          <w:tab w:val="clear" w:pos="9072"/>
          <w:tab w:val="left" w:pos="1276"/>
          <w:tab w:val="left" w:pos="2415"/>
        </w:tabs>
        <w:spacing w:line="360" w:lineRule="auto"/>
        <w:rPr>
          <w:szCs w:val="28"/>
          <w:lang w:val="en-US"/>
        </w:rPr>
      </w:pPr>
    </w:p>
    <w:tbl>
      <w:tblPr>
        <w:tblW w:w="8568" w:type="dxa"/>
        <w:tblLayout w:type="fixed"/>
        <w:tblLook w:val="0000"/>
      </w:tblPr>
      <w:tblGrid>
        <w:gridCol w:w="3258"/>
        <w:gridCol w:w="2340"/>
        <w:gridCol w:w="2970"/>
      </w:tblGrid>
      <w:tr w:rsidR="00ED68D5" w:rsidRPr="00662BA1" w:rsidTr="00CB782F">
        <w:tc>
          <w:tcPr>
            <w:tcW w:w="3258" w:type="dxa"/>
          </w:tcPr>
          <w:p w:rsidR="00ED68D5" w:rsidRPr="00662BA1" w:rsidRDefault="00ED68D5" w:rsidP="00CB782F">
            <w:pPr>
              <w:spacing w:line="140" w:lineRule="exact"/>
              <w:ind w:firstLine="252"/>
            </w:pPr>
          </w:p>
        </w:tc>
        <w:tc>
          <w:tcPr>
            <w:tcW w:w="2340" w:type="dxa"/>
            <w:tcBorders>
              <w:top w:val="single" w:sz="4" w:space="0" w:color="auto"/>
            </w:tcBorders>
          </w:tcPr>
          <w:p w:rsidR="00ED68D5" w:rsidRPr="00662BA1" w:rsidRDefault="00ED68D5" w:rsidP="00CB782F">
            <w:pPr>
              <w:pStyle w:val="Heading1"/>
              <w:tabs>
                <w:tab w:val="clear" w:pos="1440"/>
                <w:tab w:val="clear" w:pos="4320"/>
                <w:tab w:val="clear" w:pos="9072"/>
              </w:tabs>
              <w:adjustRightInd w:val="0"/>
              <w:spacing w:line="140" w:lineRule="exact"/>
              <w:ind w:firstLine="252"/>
              <w:rPr>
                <w:i w:val="0"/>
                <w:szCs w:val="28"/>
              </w:rPr>
            </w:pPr>
          </w:p>
        </w:tc>
        <w:tc>
          <w:tcPr>
            <w:tcW w:w="2970" w:type="dxa"/>
          </w:tcPr>
          <w:p w:rsidR="00ED68D5" w:rsidRPr="00662BA1" w:rsidRDefault="00ED68D5" w:rsidP="00CB782F">
            <w:pPr>
              <w:tabs>
                <w:tab w:val="clear" w:pos="1440"/>
                <w:tab w:val="clear" w:pos="4320"/>
                <w:tab w:val="clear" w:pos="9072"/>
              </w:tabs>
              <w:spacing w:line="140" w:lineRule="exact"/>
            </w:pPr>
          </w:p>
        </w:tc>
      </w:tr>
      <w:tr w:rsidR="00ED68D5" w:rsidRPr="00662BA1" w:rsidTr="00CB782F">
        <w:tc>
          <w:tcPr>
            <w:tcW w:w="3258" w:type="dxa"/>
          </w:tcPr>
          <w:p w:rsidR="00ED68D5" w:rsidRPr="00662BA1" w:rsidRDefault="00ED68D5" w:rsidP="00CB782F">
            <w:pPr>
              <w:ind w:firstLine="252"/>
            </w:pPr>
          </w:p>
        </w:tc>
        <w:tc>
          <w:tcPr>
            <w:tcW w:w="2340" w:type="dxa"/>
          </w:tcPr>
          <w:p w:rsidR="00ED68D5" w:rsidRPr="00662BA1" w:rsidRDefault="00ED68D5" w:rsidP="00CB782F">
            <w:pPr>
              <w:pStyle w:val="Heading1"/>
              <w:tabs>
                <w:tab w:val="clear" w:pos="1440"/>
                <w:tab w:val="clear" w:pos="4320"/>
                <w:tab w:val="clear" w:pos="9072"/>
              </w:tabs>
              <w:adjustRightInd w:val="0"/>
              <w:spacing w:line="300" w:lineRule="atLeast"/>
              <w:ind w:left="72"/>
              <w:rPr>
                <w:i w:val="0"/>
              </w:rPr>
            </w:pPr>
            <w:r w:rsidRPr="00662BA1">
              <w:rPr>
                <w:i w:val="0"/>
                <w:szCs w:val="28"/>
              </w:rPr>
              <w:t>J U D G M E N T</w:t>
            </w:r>
          </w:p>
        </w:tc>
        <w:tc>
          <w:tcPr>
            <w:tcW w:w="2970" w:type="dxa"/>
          </w:tcPr>
          <w:p w:rsidR="00ED68D5" w:rsidRPr="00662BA1" w:rsidRDefault="00ED68D5" w:rsidP="00CB782F">
            <w:pPr>
              <w:tabs>
                <w:tab w:val="clear" w:pos="1440"/>
                <w:tab w:val="clear" w:pos="4320"/>
                <w:tab w:val="clear" w:pos="9072"/>
              </w:tabs>
              <w:spacing w:line="300" w:lineRule="atLeast"/>
            </w:pPr>
          </w:p>
        </w:tc>
      </w:tr>
      <w:tr w:rsidR="00ED68D5" w:rsidRPr="00662BA1" w:rsidTr="00CB782F">
        <w:tc>
          <w:tcPr>
            <w:tcW w:w="3258" w:type="dxa"/>
          </w:tcPr>
          <w:p w:rsidR="00ED68D5" w:rsidRPr="00662BA1" w:rsidRDefault="00ED68D5" w:rsidP="00CB782F">
            <w:pPr>
              <w:spacing w:line="80" w:lineRule="exact"/>
              <w:ind w:firstLine="252"/>
            </w:pPr>
          </w:p>
        </w:tc>
        <w:tc>
          <w:tcPr>
            <w:tcW w:w="2340" w:type="dxa"/>
          </w:tcPr>
          <w:p w:rsidR="00ED68D5" w:rsidRPr="00662BA1" w:rsidRDefault="00ED68D5" w:rsidP="00CB782F">
            <w:pPr>
              <w:pStyle w:val="Heading1"/>
              <w:tabs>
                <w:tab w:val="clear" w:pos="1440"/>
                <w:tab w:val="clear" w:pos="4320"/>
                <w:tab w:val="clear" w:pos="9072"/>
              </w:tabs>
              <w:adjustRightInd w:val="0"/>
              <w:spacing w:line="80" w:lineRule="exact"/>
              <w:ind w:left="72"/>
              <w:rPr>
                <w:i w:val="0"/>
                <w:szCs w:val="28"/>
              </w:rPr>
            </w:pPr>
          </w:p>
        </w:tc>
        <w:tc>
          <w:tcPr>
            <w:tcW w:w="2970" w:type="dxa"/>
          </w:tcPr>
          <w:p w:rsidR="00ED68D5" w:rsidRPr="00662BA1" w:rsidRDefault="00ED68D5" w:rsidP="00CB782F">
            <w:pPr>
              <w:tabs>
                <w:tab w:val="clear" w:pos="1440"/>
                <w:tab w:val="clear" w:pos="4320"/>
                <w:tab w:val="clear" w:pos="9072"/>
              </w:tabs>
              <w:spacing w:line="80" w:lineRule="exact"/>
            </w:pPr>
          </w:p>
        </w:tc>
      </w:tr>
      <w:tr w:rsidR="00ED68D5" w:rsidRPr="00662BA1" w:rsidTr="00CB782F">
        <w:tc>
          <w:tcPr>
            <w:tcW w:w="3258" w:type="dxa"/>
          </w:tcPr>
          <w:p w:rsidR="00ED68D5" w:rsidRPr="00662BA1" w:rsidRDefault="00ED68D5" w:rsidP="00CB782F">
            <w:pPr>
              <w:spacing w:line="100" w:lineRule="exact"/>
              <w:ind w:firstLine="252"/>
            </w:pPr>
          </w:p>
        </w:tc>
        <w:tc>
          <w:tcPr>
            <w:tcW w:w="2340" w:type="dxa"/>
            <w:tcBorders>
              <w:bottom w:val="single" w:sz="4" w:space="0" w:color="auto"/>
            </w:tcBorders>
          </w:tcPr>
          <w:p w:rsidR="00ED68D5" w:rsidRPr="00662BA1" w:rsidRDefault="00ED68D5" w:rsidP="00CB782F">
            <w:pPr>
              <w:pStyle w:val="Heading1"/>
              <w:tabs>
                <w:tab w:val="clear" w:pos="1440"/>
                <w:tab w:val="clear" w:pos="4320"/>
                <w:tab w:val="clear" w:pos="9072"/>
              </w:tabs>
              <w:adjustRightInd w:val="0"/>
              <w:spacing w:line="100" w:lineRule="exact"/>
              <w:ind w:left="72"/>
              <w:rPr>
                <w:i w:val="0"/>
                <w:szCs w:val="28"/>
              </w:rPr>
            </w:pPr>
          </w:p>
        </w:tc>
        <w:tc>
          <w:tcPr>
            <w:tcW w:w="2970" w:type="dxa"/>
          </w:tcPr>
          <w:p w:rsidR="00ED68D5" w:rsidRPr="00662BA1" w:rsidRDefault="00ED68D5" w:rsidP="00CB782F">
            <w:pPr>
              <w:tabs>
                <w:tab w:val="clear" w:pos="1440"/>
                <w:tab w:val="clear" w:pos="4320"/>
                <w:tab w:val="clear" w:pos="9072"/>
              </w:tabs>
              <w:spacing w:line="100" w:lineRule="exact"/>
            </w:pPr>
          </w:p>
        </w:tc>
      </w:tr>
    </w:tbl>
    <w:p w:rsidR="00ED68D5" w:rsidRPr="00662BA1" w:rsidRDefault="00ED68D5" w:rsidP="00ED68D5"/>
    <w:p w:rsidR="00ED68D5" w:rsidRPr="00662BA1" w:rsidRDefault="00ED68D5" w:rsidP="00ED68D5"/>
    <w:p w:rsidR="00ED68D5" w:rsidRPr="00662BA1" w:rsidRDefault="008231EE" w:rsidP="002218EB">
      <w:pPr>
        <w:spacing w:line="360" w:lineRule="auto"/>
        <w:rPr>
          <w:lang w:val="en-US"/>
        </w:rPr>
      </w:pPr>
      <w:r w:rsidRPr="00662BA1">
        <w:t xml:space="preserve">Hon </w:t>
      </w:r>
      <w:proofErr w:type="spellStart"/>
      <w:r w:rsidRPr="00662BA1">
        <w:t>Lunn</w:t>
      </w:r>
      <w:proofErr w:type="spellEnd"/>
      <w:r w:rsidRPr="00662BA1">
        <w:t xml:space="preserve"> VP</w:t>
      </w:r>
      <w:r w:rsidR="00ED68D5" w:rsidRPr="00662BA1">
        <w:t xml:space="preserve"> </w:t>
      </w:r>
      <w:r w:rsidR="00AE0A20" w:rsidRPr="00662BA1">
        <w:rPr>
          <w:szCs w:val="28"/>
        </w:rPr>
        <w:t>(giving the Judgment of the Court</w:t>
      </w:r>
      <w:proofErr w:type="gramStart"/>
      <w:r w:rsidR="00AE0A20" w:rsidRPr="00662BA1">
        <w:rPr>
          <w:szCs w:val="28"/>
        </w:rPr>
        <w:t>)</w:t>
      </w:r>
      <w:r w:rsidR="002218EB" w:rsidRPr="00662BA1">
        <w:rPr>
          <w:szCs w:val="28"/>
        </w:rPr>
        <w:t> </w:t>
      </w:r>
      <w:r w:rsidR="00ED68D5" w:rsidRPr="00662BA1">
        <w:rPr>
          <w:lang w:val="en-US"/>
        </w:rPr>
        <w:t>:</w:t>
      </w:r>
      <w:proofErr w:type="gramEnd"/>
    </w:p>
    <w:p w:rsidR="0021163E" w:rsidRPr="00662BA1" w:rsidRDefault="00052537" w:rsidP="0021163E">
      <w:pPr>
        <w:tabs>
          <w:tab w:val="clear" w:pos="4320"/>
          <w:tab w:val="clear" w:pos="9072"/>
        </w:tabs>
        <w:snapToGrid/>
        <w:spacing w:before="360" w:line="360" w:lineRule="auto"/>
        <w:jc w:val="both"/>
        <w:rPr>
          <w:szCs w:val="28"/>
        </w:rPr>
      </w:pPr>
      <w:r w:rsidRPr="00662BA1">
        <w:fldChar w:fldCharType="begin"/>
      </w:r>
      <w:r w:rsidR="000C6B52" w:rsidRPr="00662BA1">
        <w:instrText xml:space="preserve"> AUTONUMOUT  </w:instrText>
      </w:r>
      <w:r w:rsidRPr="00662BA1">
        <w:fldChar w:fldCharType="end"/>
      </w:r>
      <w:r w:rsidR="000C6B52" w:rsidRPr="00662BA1">
        <w:tab/>
      </w:r>
      <w:r w:rsidR="00176C73" w:rsidRPr="00662BA1">
        <w:rPr>
          <w:szCs w:val="28"/>
        </w:rPr>
        <w:t xml:space="preserve">The applicant sought leave to appeal against his convictions on 28 February 2014, after trial by District Court Judge Douglas </w:t>
      </w:r>
      <w:proofErr w:type="spellStart"/>
      <w:r w:rsidR="00176C73" w:rsidRPr="00662BA1">
        <w:rPr>
          <w:szCs w:val="28"/>
        </w:rPr>
        <w:t>Yau</w:t>
      </w:r>
      <w:proofErr w:type="spellEnd"/>
      <w:r w:rsidR="00176C73" w:rsidRPr="00662BA1">
        <w:rPr>
          <w:szCs w:val="28"/>
        </w:rPr>
        <w:t xml:space="preserve"> on </w:t>
      </w:r>
      <w:r w:rsidR="00176C73" w:rsidRPr="00662BA1">
        <w:rPr>
          <w:szCs w:val="28"/>
        </w:rPr>
        <w:lastRenderedPageBreak/>
        <w:t>five charges of dealing with property known or believed to represent the proceeds of an indictable offence in five different bank accounts, in the overall period 2 January 2001 and 31 December 2007, contrary to section 25(1) and (3) of the Organized and</w:t>
      </w:r>
      <w:r w:rsidR="0021163E" w:rsidRPr="00662BA1">
        <w:rPr>
          <w:szCs w:val="28"/>
        </w:rPr>
        <w:t xml:space="preserve"> Serious Crimes Ordinance, Cap. </w:t>
      </w:r>
      <w:r w:rsidR="00176C73" w:rsidRPr="00662BA1">
        <w:rPr>
          <w:szCs w:val="28"/>
        </w:rPr>
        <w:t>455</w:t>
      </w:r>
      <w:r w:rsidR="00526B2A">
        <w:rPr>
          <w:szCs w:val="28"/>
        </w:rPr>
        <w:t xml:space="preserve"> and the total sentence of six</w:t>
      </w:r>
      <w:r w:rsidR="00176C73" w:rsidRPr="00662BA1">
        <w:rPr>
          <w:szCs w:val="28"/>
        </w:rPr>
        <w:t xml:space="preserve"> years</w:t>
      </w:r>
      <w:r w:rsidR="0021163E" w:rsidRPr="00662BA1">
        <w:rPr>
          <w:szCs w:val="28"/>
        </w:rPr>
        <w:t>’</w:t>
      </w:r>
      <w:r w:rsidR="00176C73" w:rsidRPr="00662BA1">
        <w:rPr>
          <w:szCs w:val="28"/>
        </w:rPr>
        <w:t xml:space="preserve"> imprisonment imposed on him in consequence on 7 March 2014</w:t>
      </w:r>
      <w:r w:rsidR="0021163E" w:rsidRPr="00662BA1">
        <w:rPr>
          <w:szCs w:val="28"/>
        </w:rPr>
        <w:t>.</w:t>
      </w:r>
    </w:p>
    <w:p w:rsidR="0021163E" w:rsidRPr="00662BA1" w:rsidRDefault="00052537" w:rsidP="0021163E">
      <w:pPr>
        <w:tabs>
          <w:tab w:val="clear" w:pos="4320"/>
          <w:tab w:val="clear" w:pos="9072"/>
        </w:tabs>
        <w:snapToGrid/>
        <w:spacing w:before="360" w:line="360" w:lineRule="auto"/>
        <w:jc w:val="both"/>
        <w:rPr>
          <w:szCs w:val="28"/>
        </w:rPr>
      </w:pPr>
      <w:r w:rsidRPr="00662BA1">
        <w:rPr>
          <w:szCs w:val="28"/>
        </w:rPr>
        <w:fldChar w:fldCharType="begin"/>
      </w:r>
      <w:r w:rsidR="0021163E" w:rsidRPr="00662BA1">
        <w:rPr>
          <w:szCs w:val="28"/>
        </w:rPr>
        <w:instrText xml:space="preserve"> AUTONUMOUT  </w:instrText>
      </w:r>
      <w:r w:rsidRPr="00662BA1">
        <w:rPr>
          <w:szCs w:val="28"/>
        </w:rPr>
        <w:fldChar w:fldCharType="end"/>
      </w:r>
      <w:r w:rsidR="0021163E" w:rsidRPr="00662BA1">
        <w:rPr>
          <w:szCs w:val="28"/>
        </w:rPr>
        <w:tab/>
      </w:r>
      <w:r w:rsidR="00176C73" w:rsidRPr="00662BA1">
        <w:rPr>
          <w:szCs w:val="28"/>
        </w:rPr>
        <w:t xml:space="preserve">The applicant was sentenced to </w:t>
      </w:r>
      <w:r w:rsidR="004762FA">
        <w:rPr>
          <w:szCs w:val="28"/>
        </w:rPr>
        <w:t>six</w:t>
      </w:r>
      <w:r w:rsidR="00176C73" w:rsidRPr="00662BA1">
        <w:rPr>
          <w:szCs w:val="28"/>
        </w:rPr>
        <w:t xml:space="preserve"> years’ imprisonment on Charges 1 and 2</w:t>
      </w:r>
      <w:r w:rsidR="00B33984">
        <w:rPr>
          <w:szCs w:val="28"/>
        </w:rPr>
        <w:t>;</w:t>
      </w:r>
      <w:r w:rsidR="00B33984" w:rsidRPr="00662BA1">
        <w:rPr>
          <w:szCs w:val="28"/>
        </w:rPr>
        <w:t xml:space="preserve"> </w:t>
      </w:r>
      <w:r w:rsidR="004762FA">
        <w:rPr>
          <w:szCs w:val="28"/>
        </w:rPr>
        <w:t>five</w:t>
      </w:r>
      <w:r w:rsidR="00176C73" w:rsidRPr="00662BA1">
        <w:rPr>
          <w:szCs w:val="28"/>
        </w:rPr>
        <w:t xml:space="preserve"> years’ imprisonment on Charges 3 and 5</w:t>
      </w:r>
      <w:r w:rsidR="00250257">
        <w:rPr>
          <w:szCs w:val="28"/>
        </w:rPr>
        <w:t>;</w:t>
      </w:r>
      <w:r w:rsidR="00176C73" w:rsidRPr="00662BA1">
        <w:rPr>
          <w:szCs w:val="28"/>
        </w:rPr>
        <w:t xml:space="preserve"> and </w:t>
      </w:r>
      <w:r w:rsidR="0021163E" w:rsidRPr="00662BA1">
        <w:rPr>
          <w:szCs w:val="28"/>
        </w:rPr>
        <w:t>2 years’ imprisonment on Charge </w:t>
      </w:r>
      <w:r w:rsidR="00176C73" w:rsidRPr="00662BA1">
        <w:rPr>
          <w:szCs w:val="28"/>
        </w:rPr>
        <w:t xml:space="preserve">4.  All the sentences were ordered to be served concurrently.  Accordingly, the total sentence imposed on the applicant was </w:t>
      </w:r>
      <w:r w:rsidR="004762FA">
        <w:rPr>
          <w:szCs w:val="28"/>
        </w:rPr>
        <w:t>six</w:t>
      </w:r>
      <w:r w:rsidR="00176C73" w:rsidRPr="00662BA1">
        <w:rPr>
          <w:szCs w:val="28"/>
        </w:rPr>
        <w:t xml:space="preserve"> years’ imprisonment. </w:t>
      </w:r>
    </w:p>
    <w:p w:rsidR="00176C73" w:rsidRPr="00662BA1" w:rsidRDefault="00052537" w:rsidP="0021163E">
      <w:pPr>
        <w:tabs>
          <w:tab w:val="clear" w:pos="4320"/>
          <w:tab w:val="clear" w:pos="9072"/>
        </w:tabs>
        <w:snapToGrid/>
        <w:spacing w:before="360" w:line="360" w:lineRule="auto"/>
        <w:jc w:val="both"/>
        <w:rPr>
          <w:szCs w:val="28"/>
        </w:rPr>
      </w:pPr>
      <w:r w:rsidRPr="00662BA1">
        <w:rPr>
          <w:szCs w:val="28"/>
        </w:rPr>
        <w:fldChar w:fldCharType="begin"/>
      </w:r>
      <w:r w:rsidR="0021163E" w:rsidRPr="00662BA1">
        <w:rPr>
          <w:szCs w:val="28"/>
        </w:rPr>
        <w:instrText xml:space="preserve"> AUTONUMOUT  </w:instrText>
      </w:r>
      <w:r w:rsidRPr="00662BA1">
        <w:rPr>
          <w:szCs w:val="28"/>
        </w:rPr>
        <w:fldChar w:fldCharType="end"/>
      </w:r>
      <w:r w:rsidR="0021163E" w:rsidRPr="00662BA1">
        <w:rPr>
          <w:szCs w:val="28"/>
        </w:rPr>
        <w:tab/>
      </w:r>
      <w:r w:rsidR="00176C73" w:rsidRPr="00662BA1">
        <w:rPr>
          <w:szCs w:val="28"/>
        </w:rPr>
        <w:t>At the hearing we reserved judgment in respect of the application against conviction and said that having delivered that judgment, if necessary, we would hear the parties in respect of the application in respect of sentence.</w:t>
      </w:r>
    </w:p>
    <w:p w:rsidR="00176C73" w:rsidRPr="00662BA1" w:rsidRDefault="00176C73" w:rsidP="00176C73">
      <w:pPr>
        <w:tabs>
          <w:tab w:val="clear" w:pos="4320"/>
          <w:tab w:val="clear" w:pos="9072"/>
        </w:tabs>
        <w:snapToGrid/>
        <w:spacing w:before="360" w:line="360" w:lineRule="auto"/>
        <w:jc w:val="both"/>
        <w:rPr>
          <w:i/>
          <w:szCs w:val="28"/>
        </w:rPr>
      </w:pPr>
      <w:r w:rsidRPr="00662BA1">
        <w:rPr>
          <w:i/>
          <w:szCs w:val="28"/>
        </w:rPr>
        <w:t>The Charges</w:t>
      </w:r>
    </w:p>
    <w:p w:rsidR="00124FCD" w:rsidRDefault="00052537" w:rsidP="008C698D">
      <w:pPr>
        <w:tabs>
          <w:tab w:val="clear" w:pos="4320"/>
          <w:tab w:val="clear" w:pos="9072"/>
        </w:tabs>
        <w:snapToGrid/>
        <w:spacing w:before="360" w:line="360" w:lineRule="auto"/>
        <w:jc w:val="both"/>
        <w:rPr>
          <w:szCs w:val="28"/>
        </w:rPr>
      </w:pPr>
      <w:r w:rsidRPr="00662BA1">
        <w:rPr>
          <w:szCs w:val="28"/>
        </w:rPr>
        <w:fldChar w:fldCharType="begin"/>
      </w:r>
      <w:r w:rsidR="008C698D" w:rsidRPr="00662BA1">
        <w:rPr>
          <w:szCs w:val="28"/>
        </w:rPr>
        <w:instrText xml:space="preserve"> AUTONUMOUT  </w:instrText>
      </w:r>
      <w:r w:rsidRPr="00662BA1">
        <w:rPr>
          <w:szCs w:val="28"/>
        </w:rPr>
        <w:fldChar w:fldCharType="end"/>
      </w:r>
      <w:r w:rsidR="008C698D" w:rsidRPr="00662BA1">
        <w:rPr>
          <w:szCs w:val="28"/>
        </w:rPr>
        <w:tab/>
      </w:r>
      <w:r w:rsidR="00176C73" w:rsidRPr="00662BA1">
        <w:rPr>
          <w:szCs w:val="28"/>
        </w:rPr>
        <w:t>The five charges, as particularised in the written Prosecution Opening</w:t>
      </w:r>
      <w:r w:rsidR="00176C73" w:rsidRPr="00662BA1">
        <w:rPr>
          <w:rStyle w:val="FootnoteReference"/>
          <w:szCs w:val="28"/>
        </w:rPr>
        <w:footnoteReference w:id="1"/>
      </w:r>
      <w:r w:rsidR="00176C73" w:rsidRPr="00662BA1">
        <w:rPr>
          <w:szCs w:val="28"/>
        </w:rPr>
        <w:t xml:space="preserve">, alleged dealing by the applicant in the total amount of monies deposited into each of the five bank accounts in the respective periods, commencing on different dates in the year 2001 and concluding on different dates in the year 2007. </w:t>
      </w:r>
      <w:r w:rsidR="004762FA">
        <w:rPr>
          <w:szCs w:val="28"/>
        </w:rPr>
        <w:t xml:space="preserve"> </w:t>
      </w:r>
      <w:r w:rsidR="00176C73" w:rsidRPr="00662BA1">
        <w:rPr>
          <w:szCs w:val="28"/>
        </w:rPr>
        <w:t xml:space="preserve">Three of the bank accounts were in the name of the applicant, of which he was the sole signatory, whereas two of the bank accounts were in the name of his father, of which accounts the applicant and his father were signatories. </w:t>
      </w:r>
      <w:r w:rsidR="00167724">
        <w:rPr>
          <w:szCs w:val="28"/>
        </w:rPr>
        <w:t xml:space="preserve"> </w:t>
      </w:r>
      <w:r w:rsidR="00176C73" w:rsidRPr="00662BA1">
        <w:rPr>
          <w:szCs w:val="28"/>
        </w:rPr>
        <w:t>Two of the bank accounts in the name of the applicant were with the Wing Lung Bank, a savings account (Acc</w:t>
      </w:r>
      <w:r w:rsidR="006E4E90" w:rsidRPr="00662BA1">
        <w:rPr>
          <w:szCs w:val="28"/>
        </w:rPr>
        <w:t>ount </w:t>
      </w:r>
      <w:r w:rsidR="00176C73" w:rsidRPr="00662BA1">
        <w:rPr>
          <w:szCs w:val="28"/>
        </w:rPr>
        <w:t>A) and a current account (A</w:t>
      </w:r>
      <w:r w:rsidR="006E4E90" w:rsidRPr="00662BA1">
        <w:rPr>
          <w:szCs w:val="28"/>
        </w:rPr>
        <w:t xml:space="preserve">ccount B).  </w:t>
      </w:r>
      <w:r w:rsidR="00176C73" w:rsidRPr="00662BA1">
        <w:rPr>
          <w:szCs w:val="28"/>
        </w:rPr>
        <w:t>Both of the bank accounts in the name of his father were with the Wing Lung Bank, a current account (Acc</w:t>
      </w:r>
      <w:r w:rsidR="006E4E90" w:rsidRPr="00662BA1">
        <w:rPr>
          <w:szCs w:val="28"/>
        </w:rPr>
        <w:t>ount </w:t>
      </w:r>
      <w:r w:rsidR="00176C73" w:rsidRPr="00662BA1">
        <w:rPr>
          <w:szCs w:val="28"/>
        </w:rPr>
        <w:t>D) and a savings account (A</w:t>
      </w:r>
      <w:r w:rsidR="006E4E90" w:rsidRPr="00662BA1">
        <w:rPr>
          <w:szCs w:val="28"/>
        </w:rPr>
        <w:t>ccount </w:t>
      </w:r>
      <w:r w:rsidR="00176C73" w:rsidRPr="00662BA1">
        <w:rPr>
          <w:szCs w:val="28"/>
        </w:rPr>
        <w:t xml:space="preserve">E). </w:t>
      </w:r>
      <w:r w:rsidR="006E4E90" w:rsidRPr="00662BA1">
        <w:rPr>
          <w:szCs w:val="28"/>
        </w:rPr>
        <w:t xml:space="preserve"> </w:t>
      </w:r>
      <w:r w:rsidR="00176C73" w:rsidRPr="00662BA1">
        <w:rPr>
          <w:szCs w:val="28"/>
        </w:rPr>
        <w:t>The third bank account in the name of the applicant, a savings account (A</w:t>
      </w:r>
      <w:r w:rsidR="006E4E90" w:rsidRPr="00662BA1">
        <w:rPr>
          <w:szCs w:val="28"/>
        </w:rPr>
        <w:t>ccount </w:t>
      </w:r>
      <w:r w:rsidR="00176C73" w:rsidRPr="00662BA1">
        <w:rPr>
          <w:szCs w:val="28"/>
        </w:rPr>
        <w:t>C) was with HSBC.</w:t>
      </w:r>
      <w:r w:rsidR="00176C73" w:rsidRPr="00662BA1">
        <w:rPr>
          <w:rStyle w:val="FootnoteReference"/>
          <w:szCs w:val="28"/>
        </w:rPr>
        <w:footnoteReference w:id="2"/>
      </w:r>
      <w:r w:rsidR="00176C73" w:rsidRPr="00662BA1">
        <w:rPr>
          <w:szCs w:val="28"/>
        </w:rPr>
        <w:t xml:space="preserve"> </w:t>
      </w:r>
      <w:r w:rsidR="006E4E90" w:rsidRPr="00662BA1">
        <w:rPr>
          <w:szCs w:val="28"/>
        </w:rPr>
        <w:t xml:space="preserve"> </w:t>
      </w:r>
      <w:r w:rsidR="00176C73" w:rsidRPr="00662BA1">
        <w:rPr>
          <w:szCs w:val="28"/>
        </w:rPr>
        <w:t>The amounts of money stipulated as having been dealt with by the applicant in the respective accounts were:</w:t>
      </w:r>
    </w:p>
    <w:p w:rsidR="00176C73" w:rsidRPr="00662BA1" w:rsidRDefault="00176C73" w:rsidP="00124FCD">
      <w:pPr>
        <w:tabs>
          <w:tab w:val="clear" w:pos="4320"/>
          <w:tab w:val="clear" w:pos="9072"/>
        </w:tabs>
        <w:snapToGrid/>
        <w:spacing w:line="80" w:lineRule="exact"/>
        <w:ind w:left="1454" w:right="835" w:hanging="187"/>
        <w:jc w:val="both"/>
        <w:rPr>
          <w:szCs w:val="28"/>
        </w:rPr>
      </w:pPr>
    </w:p>
    <w:p w:rsidR="00176C73" w:rsidRPr="00662BA1" w:rsidRDefault="00176C73" w:rsidP="00C35916">
      <w:pPr>
        <w:tabs>
          <w:tab w:val="clear" w:pos="4320"/>
          <w:tab w:val="clear" w:pos="9072"/>
        </w:tabs>
        <w:snapToGrid/>
        <w:spacing w:before="120" w:line="360" w:lineRule="auto"/>
        <w:jc w:val="both"/>
        <w:rPr>
          <w:szCs w:val="28"/>
        </w:rPr>
      </w:pPr>
      <w:r w:rsidRPr="00662BA1">
        <w:rPr>
          <w:szCs w:val="28"/>
        </w:rPr>
        <w:t>Charge</w:t>
      </w:r>
      <w:r w:rsidR="006E4E90" w:rsidRPr="00662BA1">
        <w:rPr>
          <w:szCs w:val="28"/>
        </w:rPr>
        <w:t xml:space="preserve"> </w:t>
      </w:r>
      <w:r w:rsidRPr="00662BA1">
        <w:rPr>
          <w:szCs w:val="28"/>
        </w:rPr>
        <w:t>1</w:t>
      </w:r>
      <w:r w:rsidR="006E4E90" w:rsidRPr="00662BA1">
        <w:rPr>
          <w:szCs w:val="28"/>
        </w:rPr>
        <w:t xml:space="preserve">– </w:t>
      </w:r>
      <w:r w:rsidRPr="00662BA1">
        <w:rPr>
          <w:szCs w:val="28"/>
        </w:rPr>
        <w:t xml:space="preserve">Account </w:t>
      </w:r>
      <w:proofErr w:type="gramStart"/>
      <w:r w:rsidRPr="00662BA1">
        <w:rPr>
          <w:szCs w:val="28"/>
        </w:rPr>
        <w:t>A</w:t>
      </w:r>
      <w:proofErr w:type="gramEnd"/>
      <w:r w:rsidRPr="00662BA1">
        <w:rPr>
          <w:szCs w:val="28"/>
        </w:rPr>
        <w:t>, $347,310,098 (by 406 deposits);</w:t>
      </w:r>
    </w:p>
    <w:p w:rsidR="00176C73" w:rsidRPr="00662BA1" w:rsidRDefault="00176C73" w:rsidP="00C35916">
      <w:pPr>
        <w:tabs>
          <w:tab w:val="clear" w:pos="4320"/>
          <w:tab w:val="clear" w:pos="9072"/>
        </w:tabs>
        <w:snapToGrid/>
        <w:spacing w:before="120" w:line="360" w:lineRule="auto"/>
        <w:jc w:val="both"/>
        <w:rPr>
          <w:szCs w:val="28"/>
        </w:rPr>
      </w:pPr>
      <w:r w:rsidRPr="00662BA1">
        <w:rPr>
          <w:szCs w:val="28"/>
        </w:rPr>
        <w:t>Charge 2</w:t>
      </w:r>
      <w:r w:rsidR="006E4E90" w:rsidRPr="00662BA1">
        <w:rPr>
          <w:szCs w:val="28"/>
        </w:rPr>
        <w:t>–</w:t>
      </w:r>
      <w:r w:rsidRPr="00662BA1">
        <w:rPr>
          <w:szCs w:val="28"/>
        </w:rPr>
        <w:t>Account B, $254,303,959 (by 384 deposits);</w:t>
      </w:r>
    </w:p>
    <w:p w:rsidR="00176C73" w:rsidRPr="00662BA1" w:rsidRDefault="00176C73" w:rsidP="00C35916">
      <w:pPr>
        <w:tabs>
          <w:tab w:val="clear" w:pos="4320"/>
          <w:tab w:val="clear" w:pos="9072"/>
        </w:tabs>
        <w:snapToGrid/>
        <w:spacing w:before="120" w:line="360" w:lineRule="auto"/>
        <w:jc w:val="both"/>
        <w:rPr>
          <w:szCs w:val="28"/>
        </w:rPr>
      </w:pPr>
      <w:r w:rsidRPr="00662BA1">
        <w:rPr>
          <w:szCs w:val="28"/>
        </w:rPr>
        <w:t>Charge 3</w:t>
      </w:r>
      <w:r w:rsidR="006E4E90" w:rsidRPr="00662BA1">
        <w:rPr>
          <w:szCs w:val="28"/>
        </w:rPr>
        <w:t>–</w:t>
      </w:r>
      <w:r w:rsidRPr="00662BA1">
        <w:rPr>
          <w:szCs w:val="28"/>
        </w:rPr>
        <w:t>Account C, $31,188,121 (by 53 deposits);</w:t>
      </w:r>
    </w:p>
    <w:p w:rsidR="00176C73" w:rsidRPr="00662BA1" w:rsidRDefault="00176C73" w:rsidP="00C35916">
      <w:pPr>
        <w:tabs>
          <w:tab w:val="clear" w:pos="4320"/>
          <w:tab w:val="clear" w:pos="9072"/>
        </w:tabs>
        <w:snapToGrid/>
        <w:spacing w:before="120" w:line="360" w:lineRule="auto"/>
        <w:jc w:val="both"/>
        <w:rPr>
          <w:szCs w:val="28"/>
        </w:rPr>
      </w:pPr>
      <w:r w:rsidRPr="00662BA1">
        <w:rPr>
          <w:szCs w:val="28"/>
        </w:rPr>
        <w:t>Charge 4</w:t>
      </w:r>
      <w:r w:rsidR="006E4E90" w:rsidRPr="00662BA1">
        <w:rPr>
          <w:szCs w:val="28"/>
        </w:rPr>
        <w:t>–</w:t>
      </w:r>
      <w:r w:rsidRPr="00662BA1">
        <w:rPr>
          <w:szCs w:val="28"/>
        </w:rPr>
        <w:t>Account D, $6,659,000 (by</w:t>
      </w:r>
      <w:r w:rsidR="00250257">
        <w:rPr>
          <w:szCs w:val="28"/>
        </w:rPr>
        <w:t xml:space="preserve"> </w:t>
      </w:r>
      <w:r w:rsidRPr="00662BA1">
        <w:rPr>
          <w:szCs w:val="28"/>
        </w:rPr>
        <w:t>17 deposits); and</w:t>
      </w:r>
    </w:p>
    <w:p w:rsidR="00176C73" w:rsidRPr="00662BA1" w:rsidRDefault="00176C73" w:rsidP="00C35916">
      <w:pPr>
        <w:tabs>
          <w:tab w:val="clear" w:pos="4320"/>
          <w:tab w:val="clear" w:pos="9072"/>
        </w:tabs>
        <w:snapToGrid/>
        <w:spacing w:before="120" w:line="360" w:lineRule="auto"/>
        <w:jc w:val="both"/>
        <w:rPr>
          <w:szCs w:val="28"/>
        </w:rPr>
      </w:pPr>
      <w:proofErr w:type="gramStart"/>
      <w:r w:rsidRPr="00662BA1">
        <w:rPr>
          <w:szCs w:val="28"/>
        </w:rPr>
        <w:t>Charge 5</w:t>
      </w:r>
      <w:r w:rsidR="006E4E90" w:rsidRPr="00662BA1">
        <w:rPr>
          <w:szCs w:val="28"/>
        </w:rPr>
        <w:t>–</w:t>
      </w:r>
      <w:r w:rsidRPr="00662BA1">
        <w:rPr>
          <w:szCs w:val="28"/>
        </w:rPr>
        <w:t>Account E, $81,826,428 (by 103 deposits).</w:t>
      </w:r>
      <w:proofErr w:type="gramEnd"/>
    </w:p>
    <w:p w:rsidR="00176C73" w:rsidRPr="00662BA1" w:rsidRDefault="00176C73" w:rsidP="00C35916">
      <w:pPr>
        <w:tabs>
          <w:tab w:val="clear" w:pos="4320"/>
          <w:tab w:val="clear" w:pos="9072"/>
        </w:tabs>
        <w:snapToGrid/>
        <w:spacing w:before="120" w:line="360" w:lineRule="auto"/>
        <w:jc w:val="both"/>
        <w:rPr>
          <w:szCs w:val="28"/>
        </w:rPr>
      </w:pPr>
      <w:r w:rsidRPr="00662BA1">
        <w:rPr>
          <w:szCs w:val="28"/>
        </w:rPr>
        <w:t>The total amount of money deposited was $721,287,600.</w:t>
      </w:r>
    </w:p>
    <w:p w:rsidR="00176C73" w:rsidRPr="00662BA1" w:rsidRDefault="00176C73" w:rsidP="00C35916">
      <w:pPr>
        <w:tabs>
          <w:tab w:val="clear" w:pos="4320"/>
          <w:tab w:val="clear" w:pos="9072"/>
        </w:tabs>
        <w:snapToGrid/>
        <w:spacing w:before="360" w:line="360" w:lineRule="auto"/>
        <w:jc w:val="both"/>
        <w:rPr>
          <w:i/>
          <w:szCs w:val="28"/>
        </w:rPr>
      </w:pPr>
      <w:r w:rsidRPr="00662BA1">
        <w:rPr>
          <w:i/>
          <w:szCs w:val="28"/>
        </w:rPr>
        <w:t>The Trial</w:t>
      </w:r>
    </w:p>
    <w:p w:rsidR="00C35916" w:rsidRDefault="00052537" w:rsidP="006E4E90">
      <w:pPr>
        <w:tabs>
          <w:tab w:val="clear" w:pos="4320"/>
          <w:tab w:val="clear" w:pos="9072"/>
        </w:tabs>
        <w:snapToGrid/>
        <w:spacing w:before="360" w:line="360" w:lineRule="auto"/>
        <w:jc w:val="both"/>
        <w:rPr>
          <w:szCs w:val="28"/>
        </w:rPr>
      </w:pPr>
      <w:r w:rsidRPr="00662BA1">
        <w:rPr>
          <w:szCs w:val="28"/>
        </w:rPr>
        <w:fldChar w:fldCharType="begin"/>
      </w:r>
      <w:r w:rsidR="006E4E90" w:rsidRPr="00662BA1">
        <w:rPr>
          <w:szCs w:val="28"/>
        </w:rPr>
        <w:instrText xml:space="preserve"> AUTONUMOUT  </w:instrText>
      </w:r>
      <w:r w:rsidRPr="00662BA1">
        <w:rPr>
          <w:szCs w:val="28"/>
        </w:rPr>
        <w:fldChar w:fldCharType="end"/>
      </w:r>
      <w:r w:rsidR="006E4E90" w:rsidRPr="00662BA1">
        <w:rPr>
          <w:szCs w:val="28"/>
        </w:rPr>
        <w:tab/>
      </w:r>
      <w:r w:rsidR="00176C73" w:rsidRPr="00662BA1">
        <w:rPr>
          <w:szCs w:val="28"/>
        </w:rPr>
        <w:t xml:space="preserve">There was no dispute at trial that the deposits into the five bank accounts in the respective periods came from different sources; including cash deposits from known and unknown third parties, cheque deposits by the applicants and by third parties and by </w:t>
      </w:r>
      <w:r w:rsidR="00250257">
        <w:rPr>
          <w:szCs w:val="28"/>
        </w:rPr>
        <w:t xml:space="preserve">way of </w:t>
      </w:r>
      <w:r w:rsidR="00176C73" w:rsidRPr="00662BA1">
        <w:rPr>
          <w:szCs w:val="28"/>
        </w:rPr>
        <w:t xml:space="preserve">transfers between bank accounts. </w:t>
      </w:r>
      <w:r w:rsidR="00EF77FA" w:rsidRPr="00662BA1">
        <w:rPr>
          <w:szCs w:val="28"/>
        </w:rPr>
        <w:t xml:space="preserve"> </w:t>
      </w:r>
      <w:r w:rsidR="00176C73" w:rsidRPr="00662BA1">
        <w:rPr>
          <w:szCs w:val="28"/>
        </w:rPr>
        <w:t xml:space="preserve">The prosecution did not seek to identify the predicate offences and did not rely on the first limb of </w:t>
      </w:r>
      <w:proofErr w:type="spellStart"/>
      <w:r w:rsidR="00EF77FA" w:rsidRPr="00662BA1">
        <w:rPr>
          <w:i/>
          <w:szCs w:val="28"/>
        </w:rPr>
        <w:t>mens</w:t>
      </w:r>
      <w:proofErr w:type="spellEnd"/>
      <w:r w:rsidR="00EF77FA" w:rsidRPr="00662BA1">
        <w:rPr>
          <w:i/>
          <w:szCs w:val="28"/>
        </w:rPr>
        <w:t> </w:t>
      </w:r>
      <w:proofErr w:type="spellStart"/>
      <w:r w:rsidR="00176C73" w:rsidRPr="00662BA1">
        <w:rPr>
          <w:i/>
          <w:szCs w:val="28"/>
        </w:rPr>
        <w:t>rea</w:t>
      </w:r>
      <w:proofErr w:type="spellEnd"/>
      <w:r w:rsidR="00176C73" w:rsidRPr="00662BA1">
        <w:rPr>
          <w:szCs w:val="28"/>
        </w:rPr>
        <w:t>, namely knowing.</w:t>
      </w:r>
      <w:r w:rsidR="00176C73" w:rsidRPr="00662BA1">
        <w:rPr>
          <w:rStyle w:val="FootnoteReference"/>
          <w:szCs w:val="28"/>
        </w:rPr>
        <w:footnoteReference w:id="3"/>
      </w:r>
      <w:r w:rsidR="00EF77FA" w:rsidRPr="00662BA1">
        <w:rPr>
          <w:szCs w:val="28"/>
        </w:rPr>
        <w:t xml:space="preserve"> </w:t>
      </w:r>
    </w:p>
    <w:p w:rsidR="00C35916" w:rsidRDefault="00C35916">
      <w:pPr>
        <w:tabs>
          <w:tab w:val="clear" w:pos="1440"/>
          <w:tab w:val="clear" w:pos="4320"/>
          <w:tab w:val="clear" w:pos="9072"/>
        </w:tabs>
        <w:snapToGrid/>
        <w:rPr>
          <w:szCs w:val="28"/>
        </w:rPr>
      </w:pPr>
      <w:r>
        <w:rPr>
          <w:szCs w:val="28"/>
        </w:rPr>
        <w:br w:type="page"/>
      </w:r>
    </w:p>
    <w:p w:rsidR="00176C73" w:rsidRPr="00662BA1" w:rsidRDefault="00176C73" w:rsidP="00176C73">
      <w:pPr>
        <w:tabs>
          <w:tab w:val="clear" w:pos="4320"/>
          <w:tab w:val="clear" w:pos="9072"/>
        </w:tabs>
        <w:snapToGrid/>
        <w:spacing w:before="360" w:line="360" w:lineRule="auto"/>
        <w:jc w:val="both"/>
        <w:rPr>
          <w:i/>
          <w:szCs w:val="28"/>
        </w:rPr>
      </w:pPr>
      <w:r w:rsidRPr="00662BA1">
        <w:rPr>
          <w:i/>
          <w:szCs w:val="28"/>
        </w:rPr>
        <w:t>The prosecution case</w:t>
      </w:r>
    </w:p>
    <w:p w:rsidR="00EF77FA" w:rsidRPr="00662BA1" w:rsidRDefault="00052537" w:rsidP="00176C73">
      <w:pPr>
        <w:tabs>
          <w:tab w:val="clear" w:pos="4320"/>
          <w:tab w:val="clear" w:pos="9072"/>
        </w:tabs>
        <w:snapToGrid/>
        <w:spacing w:before="360" w:line="360" w:lineRule="auto"/>
        <w:jc w:val="both"/>
        <w:rPr>
          <w:szCs w:val="28"/>
        </w:rPr>
      </w:pPr>
      <w:r w:rsidRPr="00662BA1">
        <w:rPr>
          <w:szCs w:val="28"/>
        </w:rPr>
        <w:fldChar w:fldCharType="begin"/>
      </w:r>
      <w:r w:rsidR="00EF77FA" w:rsidRPr="00662BA1">
        <w:rPr>
          <w:szCs w:val="28"/>
        </w:rPr>
        <w:instrText xml:space="preserve"> AUTONUMOUT  </w:instrText>
      </w:r>
      <w:r w:rsidRPr="00662BA1">
        <w:rPr>
          <w:szCs w:val="28"/>
        </w:rPr>
        <w:fldChar w:fldCharType="end"/>
      </w:r>
      <w:r w:rsidR="00EF77FA" w:rsidRPr="00662BA1">
        <w:rPr>
          <w:szCs w:val="28"/>
        </w:rPr>
        <w:tab/>
      </w:r>
      <w:r w:rsidR="00176C73" w:rsidRPr="00662BA1">
        <w:rPr>
          <w:szCs w:val="28"/>
        </w:rPr>
        <w:t>It was the prosecution case that the applicant was a man of modest means, as was his father.</w:t>
      </w:r>
      <w:r w:rsidR="00EF77FA" w:rsidRPr="00662BA1">
        <w:rPr>
          <w:szCs w:val="28"/>
        </w:rPr>
        <w:t xml:space="preserve"> </w:t>
      </w:r>
      <w:r w:rsidR="00176C73" w:rsidRPr="00662BA1">
        <w:rPr>
          <w:szCs w:val="28"/>
        </w:rPr>
        <w:t xml:space="preserve"> The applicant reported a taxable income of $335,229 in the financial year 1997, no income for the period 1999-2003 and a total loss $1,650,000 in the three financial years 2004-2006. </w:t>
      </w:r>
      <w:r w:rsidR="00EF77FA" w:rsidRPr="00662BA1">
        <w:rPr>
          <w:szCs w:val="28"/>
        </w:rPr>
        <w:t xml:space="preserve"> </w:t>
      </w:r>
      <w:r w:rsidR="00176C73" w:rsidRPr="00662BA1">
        <w:rPr>
          <w:szCs w:val="28"/>
        </w:rPr>
        <w:t>The applicant</w:t>
      </w:r>
      <w:r w:rsidR="00EF77FA" w:rsidRPr="00662BA1">
        <w:rPr>
          <w:szCs w:val="28"/>
        </w:rPr>
        <w:t>’</w:t>
      </w:r>
      <w:r w:rsidR="00176C73" w:rsidRPr="00662BA1">
        <w:rPr>
          <w:szCs w:val="28"/>
        </w:rPr>
        <w:t xml:space="preserve">s father declared a total of $167,283 of salary as a caretaker in the three financial years 1997-1999. </w:t>
      </w:r>
      <w:r w:rsidR="00EF77FA" w:rsidRPr="00662BA1">
        <w:rPr>
          <w:szCs w:val="28"/>
        </w:rPr>
        <w:t xml:space="preserve"> </w:t>
      </w:r>
      <w:r w:rsidR="00176C73" w:rsidRPr="00662BA1">
        <w:rPr>
          <w:szCs w:val="28"/>
        </w:rPr>
        <w:t xml:space="preserve">Having operated a vegetable stall in the three financial years 2004-2006, he claimed a total profit of $6,880. </w:t>
      </w:r>
      <w:r w:rsidR="00EF77FA" w:rsidRPr="00662BA1">
        <w:rPr>
          <w:szCs w:val="28"/>
        </w:rPr>
        <w:t xml:space="preserve"> </w:t>
      </w:r>
      <w:r w:rsidR="00176C73" w:rsidRPr="00662BA1">
        <w:rPr>
          <w:szCs w:val="28"/>
        </w:rPr>
        <w:t>The prosecution contended that the deposit of a total of over $721 million in the five bank accounts in the respective periods was not commensurate with the declared taxable income of the applicant and his father.</w:t>
      </w:r>
    </w:p>
    <w:p w:rsidR="00EF77FA" w:rsidRPr="00662BA1" w:rsidRDefault="00052537" w:rsidP="00176C73">
      <w:pPr>
        <w:tabs>
          <w:tab w:val="clear" w:pos="4320"/>
          <w:tab w:val="clear" w:pos="9072"/>
        </w:tabs>
        <w:snapToGrid/>
        <w:spacing w:before="360" w:line="360" w:lineRule="auto"/>
        <w:jc w:val="both"/>
        <w:rPr>
          <w:szCs w:val="28"/>
        </w:rPr>
      </w:pPr>
      <w:r w:rsidRPr="00662BA1">
        <w:rPr>
          <w:szCs w:val="28"/>
        </w:rPr>
        <w:fldChar w:fldCharType="begin"/>
      </w:r>
      <w:r w:rsidR="00EF77FA" w:rsidRPr="00662BA1">
        <w:rPr>
          <w:szCs w:val="28"/>
        </w:rPr>
        <w:instrText xml:space="preserve"> AUTONUMOUT  </w:instrText>
      </w:r>
      <w:r w:rsidRPr="00662BA1">
        <w:rPr>
          <w:szCs w:val="28"/>
        </w:rPr>
        <w:fldChar w:fldCharType="end"/>
      </w:r>
      <w:r w:rsidR="00EF77FA" w:rsidRPr="00662BA1">
        <w:rPr>
          <w:szCs w:val="28"/>
        </w:rPr>
        <w:tab/>
      </w:r>
      <w:r w:rsidR="00176C73" w:rsidRPr="00662BA1">
        <w:rPr>
          <w:szCs w:val="28"/>
        </w:rPr>
        <w:t xml:space="preserve">Of the deposits to the </w:t>
      </w:r>
      <w:r w:rsidR="00EF77FA" w:rsidRPr="00662BA1">
        <w:rPr>
          <w:szCs w:val="28"/>
        </w:rPr>
        <w:t>five</w:t>
      </w:r>
      <w:r w:rsidR="00176C73" w:rsidRPr="00662BA1">
        <w:rPr>
          <w:szCs w:val="28"/>
        </w:rPr>
        <w:t xml:space="preserve"> bank accounts, the prosecution pointed to the fact that the 437 deposits were in cash and amounted in total to $97,518,367.</w:t>
      </w:r>
      <w:r w:rsidR="00EF77FA" w:rsidRPr="00662BA1">
        <w:rPr>
          <w:szCs w:val="28"/>
        </w:rPr>
        <w:t xml:space="preserve"> </w:t>
      </w:r>
      <w:r w:rsidR="00176C73" w:rsidRPr="00662BA1">
        <w:rPr>
          <w:szCs w:val="28"/>
        </w:rPr>
        <w:t xml:space="preserve"> No less than $40,100,00</w:t>
      </w:r>
      <w:r w:rsidR="00EF77FA" w:rsidRPr="00662BA1">
        <w:rPr>
          <w:szCs w:val="28"/>
        </w:rPr>
        <w:t>0</w:t>
      </w:r>
      <w:r w:rsidR="00176C73" w:rsidRPr="00662BA1">
        <w:rPr>
          <w:szCs w:val="28"/>
        </w:rPr>
        <w:t xml:space="preserve"> of those cash deposits were made up by 21 deposits of $1</w:t>
      </w:r>
      <w:r w:rsidR="00167724">
        <w:rPr>
          <w:szCs w:val="28"/>
        </w:rPr>
        <w:t> </w:t>
      </w:r>
      <w:r w:rsidR="00176C73" w:rsidRPr="00662BA1">
        <w:rPr>
          <w:szCs w:val="28"/>
        </w:rPr>
        <w:t xml:space="preserve">million and more. </w:t>
      </w:r>
      <w:r w:rsidR="00EF77FA" w:rsidRPr="00662BA1">
        <w:rPr>
          <w:szCs w:val="28"/>
        </w:rPr>
        <w:t xml:space="preserve"> </w:t>
      </w:r>
      <w:r w:rsidR="00176C73" w:rsidRPr="00662BA1">
        <w:rPr>
          <w:szCs w:val="28"/>
        </w:rPr>
        <w:t xml:space="preserve">A total of $62,450,000 was deposited in a period of several weeks in late December 2004 and January 2005 </w:t>
      </w:r>
      <w:r w:rsidR="00250257">
        <w:rPr>
          <w:szCs w:val="28"/>
        </w:rPr>
        <w:t>by way of</w:t>
      </w:r>
      <w:r w:rsidR="00176C73" w:rsidRPr="00662BA1">
        <w:rPr>
          <w:szCs w:val="28"/>
        </w:rPr>
        <w:t xml:space="preserve"> 10 cash cheques drawn on the account of </w:t>
      </w:r>
      <w:proofErr w:type="spellStart"/>
      <w:r w:rsidR="00176C73" w:rsidRPr="00662BA1">
        <w:rPr>
          <w:szCs w:val="28"/>
        </w:rPr>
        <w:t>S</w:t>
      </w:r>
      <w:r w:rsidR="00EF77FA" w:rsidRPr="00662BA1">
        <w:rPr>
          <w:szCs w:val="28"/>
        </w:rPr>
        <w:t>oci</w:t>
      </w:r>
      <w:r w:rsidR="00250257" w:rsidRPr="00662BA1">
        <w:rPr>
          <w:szCs w:val="28"/>
        </w:rPr>
        <w:t>e</w:t>
      </w:r>
      <w:r w:rsidR="00EF77FA" w:rsidRPr="00662BA1">
        <w:rPr>
          <w:szCs w:val="28"/>
        </w:rPr>
        <w:t>dade</w:t>
      </w:r>
      <w:proofErr w:type="spellEnd"/>
      <w:r w:rsidR="00EF77FA" w:rsidRPr="00662BA1">
        <w:rPr>
          <w:szCs w:val="28"/>
        </w:rPr>
        <w:t xml:space="preserve"> de </w:t>
      </w:r>
      <w:proofErr w:type="spellStart"/>
      <w:r w:rsidR="00EF77FA" w:rsidRPr="00662BA1">
        <w:rPr>
          <w:szCs w:val="28"/>
        </w:rPr>
        <w:t>Jogos</w:t>
      </w:r>
      <w:proofErr w:type="spellEnd"/>
      <w:r w:rsidR="00EF77FA" w:rsidRPr="00662BA1">
        <w:rPr>
          <w:szCs w:val="28"/>
        </w:rPr>
        <w:t xml:space="preserve"> de Macau SA (“</w:t>
      </w:r>
      <w:r w:rsidR="00176C73" w:rsidRPr="00662BA1">
        <w:rPr>
          <w:szCs w:val="28"/>
        </w:rPr>
        <w:t>SJM</w:t>
      </w:r>
      <w:r w:rsidR="00EF77FA" w:rsidRPr="00662BA1">
        <w:rPr>
          <w:szCs w:val="28"/>
        </w:rPr>
        <w:t>”</w:t>
      </w:r>
      <w:r w:rsidR="00176C73" w:rsidRPr="00662BA1">
        <w:rPr>
          <w:szCs w:val="28"/>
        </w:rPr>
        <w:t>), a casino in Macau.</w:t>
      </w:r>
    </w:p>
    <w:p w:rsidR="00176C73" w:rsidRPr="00662BA1" w:rsidRDefault="00052537" w:rsidP="00EF77FA">
      <w:pPr>
        <w:tabs>
          <w:tab w:val="clear" w:pos="4320"/>
          <w:tab w:val="clear" w:pos="9072"/>
        </w:tabs>
        <w:snapToGrid/>
        <w:spacing w:before="360" w:line="360" w:lineRule="auto"/>
        <w:jc w:val="both"/>
        <w:rPr>
          <w:szCs w:val="28"/>
        </w:rPr>
      </w:pPr>
      <w:r w:rsidRPr="00662BA1">
        <w:rPr>
          <w:szCs w:val="28"/>
        </w:rPr>
        <w:fldChar w:fldCharType="begin"/>
      </w:r>
      <w:r w:rsidR="00EF77FA" w:rsidRPr="00662BA1">
        <w:rPr>
          <w:szCs w:val="28"/>
        </w:rPr>
        <w:instrText xml:space="preserve"> AUTONUMOUT  </w:instrText>
      </w:r>
      <w:r w:rsidRPr="00662BA1">
        <w:rPr>
          <w:szCs w:val="28"/>
        </w:rPr>
        <w:fldChar w:fldCharType="end"/>
      </w:r>
      <w:r w:rsidR="00EF77FA" w:rsidRPr="00662BA1">
        <w:rPr>
          <w:szCs w:val="28"/>
        </w:rPr>
        <w:tab/>
      </w:r>
      <w:r w:rsidR="00176C73" w:rsidRPr="00662BA1">
        <w:rPr>
          <w:szCs w:val="28"/>
        </w:rPr>
        <w:t xml:space="preserve">Further, it was the prosecution case that the five bank accounts </w:t>
      </w:r>
      <w:r w:rsidR="003D2FF6" w:rsidRPr="00662BA1">
        <w:rPr>
          <w:szCs w:val="28"/>
        </w:rPr>
        <w:t>were used as a “</w:t>
      </w:r>
      <w:r w:rsidR="00176C73" w:rsidRPr="00662BA1">
        <w:rPr>
          <w:szCs w:val="28"/>
        </w:rPr>
        <w:t>repository for funds</w:t>
      </w:r>
      <w:r w:rsidR="003D2FF6" w:rsidRPr="00662BA1">
        <w:rPr>
          <w:szCs w:val="28"/>
        </w:rPr>
        <w:t>”</w:t>
      </w:r>
      <w:r w:rsidR="00176C73" w:rsidRPr="00662BA1">
        <w:rPr>
          <w:szCs w:val="28"/>
        </w:rPr>
        <w:t xml:space="preserve">. </w:t>
      </w:r>
      <w:r w:rsidR="003D2FF6" w:rsidRPr="00662BA1">
        <w:rPr>
          <w:szCs w:val="28"/>
        </w:rPr>
        <w:t xml:space="preserve"> </w:t>
      </w:r>
      <w:r w:rsidR="00176C73" w:rsidRPr="00662BA1">
        <w:rPr>
          <w:szCs w:val="28"/>
        </w:rPr>
        <w:t>First, on the basis that, after having been deposited, some of the monies were transferred out in a very short period of time.</w:t>
      </w:r>
      <w:r w:rsidR="003D2FF6" w:rsidRPr="00662BA1">
        <w:rPr>
          <w:szCs w:val="28"/>
        </w:rPr>
        <w:t xml:space="preserve"> </w:t>
      </w:r>
      <w:r w:rsidR="00176C73" w:rsidRPr="00662BA1">
        <w:rPr>
          <w:szCs w:val="28"/>
        </w:rPr>
        <w:t xml:space="preserve"> Secondly, on the basis that the opening and closing balances for each of the bank accounts during each of the years 2001 to 2007 were almost identical.</w:t>
      </w:r>
      <w:r w:rsidR="00176C73" w:rsidRPr="00662BA1">
        <w:rPr>
          <w:rStyle w:val="FootnoteReference"/>
          <w:szCs w:val="28"/>
        </w:rPr>
        <w:footnoteReference w:id="4"/>
      </w:r>
    </w:p>
    <w:p w:rsidR="00176C73" w:rsidRPr="00662BA1" w:rsidRDefault="00052537" w:rsidP="003D2FF6">
      <w:pPr>
        <w:tabs>
          <w:tab w:val="clear" w:pos="4320"/>
          <w:tab w:val="clear" w:pos="9072"/>
        </w:tabs>
        <w:snapToGrid/>
        <w:spacing w:before="360" w:line="360" w:lineRule="auto"/>
        <w:jc w:val="both"/>
        <w:rPr>
          <w:szCs w:val="28"/>
        </w:rPr>
      </w:pPr>
      <w:r w:rsidRPr="00662BA1">
        <w:rPr>
          <w:szCs w:val="28"/>
        </w:rPr>
        <w:fldChar w:fldCharType="begin"/>
      </w:r>
      <w:r w:rsidR="003D2FF6" w:rsidRPr="00662BA1">
        <w:rPr>
          <w:szCs w:val="28"/>
        </w:rPr>
        <w:instrText xml:space="preserve"> AUTONUMOUT  </w:instrText>
      </w:r>
      <w:r w:rsidRPr="00662BA1">
        <w:rPr>
          <w:szCs w:val="28"/>
        </w:rPr>
        <w:fldChar w:fldCharType="end"/>
      </w:r>
      <w:r w:rsidR="003D2FF6" w:rsidRPr="00662BA1">
        <w:rPr>
          <w:szCs w:val="28"/>
        </w:rPr>
        <w:tab/>
      </w:r>
      <w:r w:rsidR="00176C73" w:rsidRPr="00662BA1">
        <w:rPr>
          <w:szCs w:val="28"/>
        </w:rPr>
        <w:t>Notwithstanding that there were five charges, the judge noted of the presentation of</w:t>
      </w:r>
      <w:r w:rsidR="003D2FF6" w:rsidRPr="00662BA1">
        <w:rPr>
          <w:szCs w:val="28"/>
        </w:rPr>
        <w:t xml:space="preserve"> the prosecution case that it, “</w:t>
      </w:r>
      <w:r w:rsidR="00176C73" w:rsidRPr="00662BA1">
        <w:rPr>
          <w:szCs w:val="28"/>
        </w:rPr>
        <w:t>was presented as if the court was considering the entirety o</w:t>
      </w:r>
      <w:r w:rsidR="00167724">
        <w:rPr>
          <w:szCs w:val="28"/>
        </w:rPr>
        <w:t xml:space="preserve">f the funds deposited into the five </w:t>
      </w:r>
      <w:r w:rsidR="00176C73" w:rsidRPr="00662BA1">
        <w:rPr>
          <w:szCs w:val="28"/>
        </w:rPr>
        <w:t>counts</w:t>
      </w:r>
      <w:r w:rsidR="00167724">
        <w:rPr>
          <w:szCs w:val="28"/>
        </w:rPr>
        <w:t xml:space="preserve"> </w:t>
      </w:r>
      <w:r w:rsidR="00176C73" w:rsidRPr="00662BA1">
        <w:rPr>
          <w:szCs w:val="28"/>
        </w:rPr>
        <w:t>…. and the way the data as set out and analysed in the prosecution expert reports corresponded with that approach.</w:t>
      </w:r>
      <w:r w:rsidR="003D2FF6" w:rsidRPr="00662BA1">
        <w:rPr>
          <w:szCs w:val="28"/>
        </w:rPr>
        <w:t>”</w:t>
      </w:r>
      <w:r w:rsidR="003D2FF6" w:rsidRPr="00662BA1">
        <w:rPr>
          <w:szCs w:val="28"/>
          <w:lang w:val="en-US"/>
        </w:rPr>
        <w:t> </w:t>
      </w:r>
      <w:r w:rsidR="00176C73" w:rsidRPr="00662BA1">
        <w:rPr>
          <w:rStyle w:val="FootnoteReference"/>
          <w:szCs w:val="28"/>
        </w:rPr>
        <w:footnoteReference w:id="5"/>
      </w:r>
    </w:p>
    <w:p w:rsidR="00176C73" w:rsidRPr="00662BA1" w:rsidRDefault="00176C73" w:rsidP="00176C73">
      <w:pPr>
        <w:tabs>
          <w:tab w:val="clear" w:pos="4320"/>
          <w:tab w:val="clear" w:pos="9072"/>
        </w:tabs>
        <w:snapToGrid/>
        <w:spacing w:before="360" w:line="360" w:lineRule="auto"/>
        <w:jc w:val="both"/>
        <w:rPr>
          <w:szCs w:val="28"/>
        </w:rPr>
      </w:pPr>
      <w:r w:rsidRPr="00662BA1">
        <w:rPr>
          <w:i/>
          <w:szCs w:val="28"/>
        </w:rPr>
        <w:t>The defence case</w:t>
      </w:r>
    </w:p>
    <w:p w:rsidR="00954EC4" w:rsidRPr="00662BA1" w:rsidRDefault="00052537" w:rsidP="00176C73">
      <w:pPr>
        <w:tabs>
          <w:tab w:val="clear" w:pos="4320"/>
          <w:tab w:val="clear" w:pos="9072"/>
        </w:tabs>
        <w:snapToGrid/>
        <w:spacing w:before="360" w:line="360" w:lineRule="auto"/>
        <w:jc w:val="both"/>
        <w:rPr>
          <w:szCs w:val="28"/>
        </w:rPr>
      </w:pPr>
      <w:r w:rsidRPr="00662BA1">
        <w:rPr>
          <w:szCs w:val="28"/>
        </w:rPr>
        <w:fldChar w:fldCharType="begin"/>
      </w:r>
      <w:r w:rsidR="003D2FF6" w:rsidRPr="00662BA1">
        <w:rPr>
          <w:szCs w:val="28"/>
        </w:rPr>
        <w:instrText xml:space="preserve"> AUTONUMOUT  </w:instrText>
      </w:r>
      <w:r w:rsidRPr="00662BA1">
        <w:rPr>
          <w:szCs w:val="28"/>
        </w:rPr>
        <w:fldChar w:fldCharType="end"/>
      </w:r>
      <w:r w:rsidR="003D2FF6" w:rsidRPr="00662BA1">
        <w:rPr>
          <w:szCs w:val="28"/>
        </w:rPr>
        <w:tab/>
      </w:r>
      <w:r w:rsidR="00176C73" w:rsidRPr="00662BA1">
        <w:rPr>
          <w:szCs w:val="28"/>
        </w:rPr>
        <w:t>Unusually, the applicant was permitted to give evidence after having called 11 witnesses as to the facts and</w:t>
      </w:r>
      <w:r w:rsidR="00954EC4" w:rsidRPr="00662BA1">
        <w:rPr>
          <w:rFonts w:hint="eastAsia"/>
          <w:szCs w:val="28"/>
        </w:rPr>
        <w:t xml:space="preserve"> </w:t>
      </w:r>
      <w:r w:rsidR="00954EC4" w:rsidRPr="00662BA1">
        <w:rPr>
          <w:rFonts w:eastAsia="PMingLiU"/>
          <w:szCs w:val="28"/>
          <w:lang w:val="en-US" w:eastAsia="zh-TW"/>
        </w:rPr>
        <w:t>two</w:t>
      </w:r>
      <w:r w:rsidR="00176C73" w:rsidRPr="00662BA1">
        <w:rPr>
          <w:szCs w:val="28"/>
        </w:rPr>
        <w:t xml:space="preserve"> expert witnesses</w:t>
      </w:r>
      <w:r w:rsidR="00167724">
        <w:rPr>
          <w:szCs w:val="28"/>
        </w:rPr>
        <w:t>, Mr</w:t>
      </w:r>
      <w:proofErr w:type="gramStart"/>
      <w:r w:rsidR="00167724">
        <w:rPr>
          <w:szCs w:val="28"/>
        </w:rPr>
        <w:t>  Ian</w:t>
      </w:r>
      <w:proofErr w:type="gramEnd"/>
      <w:r w:rsidR="00167724">
        <w:rPr>
          <w:szCs w:val="28"/>
        </w:rPr>
        <w:t xml:space="preserve"> Robinson and Mr  </w:t>
      </w:r>
      <w:r w:rsidR="00176C73" w:rsidRPr="00662BA1">
        <w:rPr>
          <w:szCs w:val="28"/>
        </w:rPr>
        <w:t xml:space="preserve">Mark </w:t>
      </w:r>
      <w:proofErr w:type="spellStart"/>
      <w:r w:rsidR="00176C73" w:rsidRPr="00662BA1">
        <w:rPr>
          <w:szCs w:val="28"/>
        </w:rPr>
        <w:t>Pulverenti</w:t>
      </w:r>
      <w:proofErr w:type="spellEnd"/>
      <w:r w:rsidR="00176C73" w:rsidRPr="00662BA1">
        <w:rPr>
          <w:szCs w:val="28"/>
        </w:rPr>
        <w:t xml:space="preserve">, in the defence case. </w:t>
      </w:r>
      <w:r w:rsidR="00954EC4" w:rsidRPr="00662BA1">
        <w:rPr>
          <w:szCs w:val="28"/>
        </w:rPr>
        <w:t xml:space="preserve"> </w:t>
      </w:r>
      <w:r w:rsidR="00176C73" w:rsidRPr="00662BA1">
        <w:rPr>
          <w:szCs w:val="28"/>
        </w:rPr>
        <w:t xml:space="preserve">The factual witnesses spoke to the applicant’s business activities, including his trading in securities, participation in commercial ventures in Hong Kong and </w:t>
      </w:r>
      <w:r w:rsidR="00250257">
        <w:rPr>
          <w:szCs w:val="28"/>
        </w:rPr>
        <w:t xml:space="preserve">the </w:t>
      </w:r>
      <w:r w:rsidR="00176C73" w:rsidRPr="00662BA1">
        <w:rPr>
          <w:szCs w:val="28"/>
        </w:rPr>
        <w:t>Mainland and his activities as a gambler.</w:t>
      </w:r>
    </w:p>
    <w:p w:rsidR="00176C73" w:rsidRPr="00662BA1" w:rsidRDefault="00052537" w:rsidP="00954EC4">
      <w:pPr>
        <w:tabs>
          <w:tab w:val="clear" w:pos="4320"/>
          <w:tab w:val="clear" w:pos="9072"/>
        </w:tabs>
        <w:snapToGrid/>
        <w:spacing w:before="360" w:line="360" w:lineRule="auto"/>
        <w:jc w:val="both"/>
        <w:rPr>
          <w:szCs w:val="28"/>
        </w:rPr>
      </w:pPr>
      <w:r w:rsidRPr="00662BA1">
        <w:rPr>
          <w:szCs w:val="28"/>
        </w:rPr>
        <w:fldChar w:fldCharType="begin"/>
      </w:r>
      <w:r w:rsidR="00954EC4" w:rsidRPr="00662BA1">
        <w:rPr>
          <w:szCs w:val="28"/>
        </w:rPr>
        <w:instrText xml:space="preserve"> AUTONUMOUT  </w:instrText>
      </w:r>
      <w:r w:rsidRPr="00662BA1">
        <w:rPr>
          <w:szCs w:val="28"/>
        </w:rPr>
        <w:fldChar w:fldCharType="end"/>
      </w:r>
      <w:r w:rsidR="00954EC4" w:rsidRPr="00662BA1">
        <w:rPr>
          <w:szCs w:val="28"/>
        </w:rPr>
        <w:tab/>
      </w:r>
      <w:r w:rsidR="00176C73" w:rsidRPr="00662BA1">
        <w:rPr>
          <w:szCs w:val="28"/>
        </w:rPr>
        <w:t xml:space="preserve">In his evidence, the applicant denied that he had dealt with monies in the accounts in the name of his father, which were the subject of Charges 4 and 5. </w:t>
      </w:r>
      <w:r w:rsidR="006A5585" w:rsidRPr="00662BA1">
        <w:rPr>
          <w:szCs w:val="28"/>
        </w:rPr>
        <w:t xml:space="preserve"> </w:t>
      </w:r>
      <w:r w:rsidR="00176C73" w:rsidRPr="00662BA1">
        <w:rPr>
          <w:szCs w:val="28"/>
        </w:rPr>
        <w:t>Dealings in those accounts were those of his father, as were the monies.</w:t>
      </w:r>
      <w:r w:rsidR="00176C73" w:rsidRPr="00662BA1">
        <w:rPr>
          <w:rStyle w:val="FootnoteReference"/>
          <w:szCs w:val="28"/>
        </w:rPr>
        <w:footnoteReference w:id="6"/>
      </w:r>
      <w:r w:rsidR="00176C73" w:rsidRPr="00662BA1">
        <w:rPr>
          <w:szCs w:val="28"/>
        </w:rPr>
        <w:t xml:space="preserve"> </w:t>
      </w:r>
      <w:r w:rsidR="006A5585" w:rsidRPr="00662BA1">
        <w:rPr>
          <w:szCs w:val="28"/>
        </w:rPr>
        <w:t xml:space="preserve"> </w:t>
      </w:r>
      <w:r w:rsidR="00176C73" w:rsidRPr="00662BA1">
        <w:rPr>
          <w:szCs w:val="28"/>
        </w:rPr>
        <w:t xml:space="preserve">The applicant accepted that the dealings in the three accounts that are the subject of Charges 1-3 were his dealings, as were the monies. </w:t>
      </w:r>
      <w:r w:rsidR="006A5585" w:rsidRPr="00662BA1">
        <w:rPr>
          <w:szCs w:val="28"/>
        </w:rPr>
        <w:t xml:space="preserve"> They were not the proceeds of “</w:t>
      </w:r>
      <w:r w:rsidR="00176C73" w:rsidRPr="00662BA1">
        <w:rPr>
          <w:szCs w:val="28"/>
        </w:rPr>
        <w:t>ill gotten gains</w:t>
      </w:r>
      <w:r w:rsidR="006A5585" w:rsidRPr="00662BA1">
        <w:rPr>
          <w:szCs w:val="28"/>
        </w:rPr>
        <w:t>”</w:t>
      </w:r>
      <w:r w:rsidR="00176C73" w:rsidRPr="00662BA1">
        <w:rPr>
          <w:szCs w:val="28"/>
        </w:rPr>
        <w:t>.</w:t>
      </w:r>
      <w:r w:rsidR="00176C73" w:rsidRPr="00662BA1">
        <w:rPr>
          <w:rStyle w:val="FootnoteReference"/>
          <w:szCs w:val="28"/>
        </w:rPr>
        <w:footnoteReference w:id="7"/>
      </w:r>
      <w:r w:rsidR="00176C73" w:rsidRPr="00662BA1">
        <w:rPr>
          <w:szCs w:val="28"/>
        </w:rPr>
        <w:t xml:space="preserve"> </w:t>
      </w:r>
      <w:r w:rsidR="006A5585" w:rsidRPr="00662BA1">
        <w:rPr>
          <w:szCs w:val="28"/>
        </w:rPr>
        <w:t xml:space="preserve"> </w:t>
      </w:r>
      <w:r w:rsidR="00176C73" w:rsidRPr="00662BA1">
        <w:rPr>
          <w:szCs w:val="28"/>
        </w:rPr>
        <w:t>He denied that he had ever dealt in property or money that he believed, suspected or thought might be the proceeds of crime.</w:t>
      </w:r>
      <w:r w:rsidR="00176C73" w:rsidRPr="00662BA1">
        <w:rPr>
          <w:rStyle w:val="FootnoteReference"/>
          <w:szCs w:val="28"/>
        </w:rPr>
        <w:footnoteReference w:id="8"/>
      </w:r>
    </w:p>
    <w:p w:rsidR="00176C73" w:rsidRPr="00662BA1" w:rsidRDefault="00052537" w:rsidP="006F0455">
      <w:pPr>
        <w:tabs>
          <w:tab w:val="clear" w:pos="4320"/>
          <w:tab w:val="clear" w:pos="9072"/>
        </w:tabs>
        <w:snapToGrid/>
        <w:spacing w:before="360" w:line="360" w:lineRule="auto"/>
        <w:jc w:val="both"/>
        <w:rPr>
          <w:szCs w:val="28"/>
        </w:rPr>
      </w:pPr>
      <w:r w:rsidRPr="00662BA1">
        <w:rPr>
          <w:szCs w:val="28"/>
        </w:rPr>
        <w:fldChar w:fldCharType="begin"/>
      </w:r>
      <w:r w:rsidR="006F0455" w:rsidRPr="00662BA1">
        <w:rPr>
          <w:szCs w:val="28"/>
        </w:rPr>
        <w:instrText xml:space="preserve"> AUTONUMOUT  </w:instrText>
      </w:r>
      <w:r w:rsidRPr="00662BA1">
        <w:rPr>
          <w:szCs w:val="28"/>
        </w:rPr>
        <w:fldChar w:fldCharType="end"/>
      </w:r>
      <w:r w:rsidR="006F0455" w:rsidRPr="00662BA1">
        <w:rPr>
          <w:szCs w:val="28"/>
        </w:rPr>
        <w:tab/>
      </w:r>
      <w:r w:rsidR="00176C73" w:rsidRPr="00662BA1">
        <w:rPr>
          <w:szCs w:val="28"/>
        </w:rPr>
        <w:t xml:space="preserve">The evidence called in the defence case was put forward to explain the provenance and nature of the monies held in the five bank accounts. </w:t>
      </w:r>
      <w:r w:rsidR="006F0455" w:rsidRPr="00662BA1">
        <w:rPr>
          <w:szCs w:val="28"/>
        </w:rPr>
        <w:t xml:space="preserve"> </w:t>
      </w:r>
      <w:r w:rsidR="00176C73" w:rsidRPr="00662BA1">
        <w:rPr>
          <w:szCs w:val="28"/>
        </w:rPr>
        <w:t>In particular, the structure</w:t>
      </w:r>
      <w:r w:rsidR="006F0455" w:rsidRPr="00662BA1">
        <w:rPr>
          <w:szCs w:val="28"/>
        </w:rPr>
        <w:t xml:space="preserve"> of the applicant’</w:t>
      </w:r>
      <w:r w:rsidR="00176C73" w:rsidRPr="00662BA1">
        <w:rPr>
          <w:szCs w:val="28"/>
        </w:rPr>
        <w:t>s evidence-in-chief was to provide an account of the legitimate provenance of the various tranches of money deposited into the three accounts the subject of Charges 1-3.</w:t>
      </w:r>
    </w:p>
    <w:p w:rsidR="00176C73" w:rsidRPr="00662BA1" w:rsidRDefault="00176C73" w:rsidP="00176C73">
      <w:pPr>
        <w:tabs>
          <w:tab w:val="clear" w:pos="4320"/>
          <w:tab w:val="clear" w:pos="9072"/>
        </w:tabs>
        <w:snapToGrid/>
        <w:spacing w:before="360" w:line="360" w:lineRule="auto"/>
        <w:jc w:val="both"/>
        <w:rPr>
          <w:i/>
          <w:szCs w:val="28"/>
        </w:rPr>
      </w:pPr>
      <w:r w:rsidRPr="00662BA1">
        <w:rPr>
          <w:i/>
          <w:szCs w:val="28"/>
        </w:rPr>
        <w:t xml:space="preserve">Grounds of Appeal against </w:t>
      </w:r>
      <w:r w:rsidR="0030791F" w:rsidRPr="00662BA1">
        <w:rPr>
          <w:i/>
          <w:szCs w:val="28"/>
        </w:rPr>
        <w:t>C</w:t>
      </w:r>
      <w:r w:rsidRPr="00662BA1">
        <w:rPr>
          <w:i/>
          <w:szCs w:val="28"/>
        </w:rPr>
        <w:t>onviction</w:t>
      </w:r>
    </w:p>
    <w:p w:rsidR="00176C73" w:rsidRPr="00662BA1" w:rsidRDefault="00052537" w:rsidP="006F0455">
      <w:pPr>
        <w:tabs>
          <w:tab w:val="clear" w:pos="4320"/>
          <w:tab w:val="clear" w:pos="9072"/>
        </w:tabs>
        <w:snapToGrid/>
        <w:spacing w:before="360" w:line="360" w:lineRule="auto"/>
        <w:jc w:val="both"/>
        <w:rPr>
          <w:szCs w:val="28"/>
        </w:rPr>
      </w:pPr>
      <w:r w:rsidRPr="00662BA1">
        <w:rPr>
          <w:szCs w:val="28"/>
        </w:rPr>
        <w:fldChar w:fldCharType="begin"/>
      </w:r>
      <w:r w:rsidR="006F0455" w:rsidRPr="00662BA1">
        <w:rPr>
          <w:szCs w:val="28"/>
        </w:rPr>
        <w:instrText xml:space="preserve"> AUTONUMOUT  </w:instrText>
      </w:r>
      <w:r w:rsidRPr="00662BA1">
        <w:rPr>
          <w:szCs w:val="28"/>
        </w:rPr>
        <w:fldChar w:fldCharType="end"/>
      </w:r>
      <w:r w:rsidR="006F0455" w:rsidRPr="00662BA1">
        <w:rPr>
          <w:szCs w:val="28"/>
        </w:rPr>
        <w:tab/>
      </w:r>
      <w:r w:rsidR="00176C73" w:rsidRPr="00662BA1">
        <w:rPr>
          <w:szCs w:val="28"/>
        </w:rPr>
        <w:t xml:space="preserve">Multiple grounds of appeal against conviction are advanced on behalf of the applicant by Ms Montgomery QC. </w:t>
      </w:r>
    </w:p>
    <w:p w:rsidR="00176C73" w:rsidRPr="00662BA1" w:rsidRDefault="00176C73" w:rsidP="00176C73">
      <w:pPr>
        <w:tabs>
          <w:tab w:val="clear" w:pos="4320"/>
          <w:tab w:val="clear" w:pos="9072"/>
        </w:tabs>
        <w:snapToGrid/>
        <w:spacing w:before="360" w:line="360" w:lineRule="auto"/>
        <w:jc w:val="both"/>
        <w:rPr>
          <w:i/>
          <w:szCs w:val="28"/>
        </w:rPr>
      </w:pPr>
      <w:r w:rsidRPr="00662BA1">
        <w:rPr>
          <w:i/>
          <w:szCs w:val="28"/>
        </w:rPr>
        <w:t>Duplicity</w:t>
      </w:r>
    </w:p>
    <w:p w:rsidR="008455AF" w:rsidRPr="00662BA1" w:rsidRDefault="00052537" w:rsidP="003630F8">
      <w:pPr>
        <w:tabs>
          <w:tab w:val="clear" w:pos="4320"/>
          <w:tab w:val="clear" w:pos="9072"/>
        </w:tabs>
        <w:snapToGrid/>
        <w:spacing w:before="360" w:line="360" w:lineRule="auto"/>
        <w:jc w:val="both"/>
        <w:rPr>
          <w:szCs w:val="28"/>
        </w:rPr>
      </w:pPr>
      <w:r w:rsidRPr="00662BA1">
        <w:rPr>
          <w:szCs w:val="28"/>
        </w:rPr>
        <w:fldChar w:fldCharType="begin"/>
      </w:r>
      <w:r w:rsidR="0030791F" w:rsidRPr="00662BA1">
        <w:rPr>
          <w:szCs w:val="28"/>
        </w:rPr>
        <w:instrText xml:space="preserve"> AUTONUMOUT  </w:instrText>
      </w:r>
      <w:r w:rsidRPr="00662BA1">
        <w:rPr>
          <w:szCs w:val="28"/>
        </w:rPr>
        <w:fldChar w:fldCharType="end"/>
      </w:r>
      <w:r w:rsidR="0030791F" w:rsidRPr="00662BA1">
        <w:rPr>
          <w:szCs w:val="28"/>
        </w:rPr>
        <w:tab/>
      </w:r>
      <w:r w:rsidR="00176C73" w:rsidRPr="00662BA1">
        <w:rPr>
          <w:szCs w:val="28"/>
        </w:rPr>
        <w:t>By ground 1A it was submitted that, given the multiplicity and the different provenance of deposits in each of the five bank accounts, all five charges were bad for duplicity.</w:t>
      </w:r>
      <w:r w:rsidR="00176C73" w:rsidRPr="00662BA1">
        <w:rPr>
          <w:rStyle w:val="FootnoteReference"/>
          <w:szCs w:val="28"/>
        </w:rPr>
        <w:footnoteReference w:id="9"/>
      </w:r>
      <w:r w:rsidR="00176C73" w:rsidRPr="00662BA1">
        <w:rPr>
          <w:szCs w:val="28"/>
        </w:rPr>
        <w:t xml:space="preserve"> </w:t>
      </w:r>
      <w:r w:rsidR="008455AF" w:rsidRPr="00662BA1">
        <w:rPr>
          <w:szCs w:val="28"/>
        </w:rPr>
        <w:t xml:space="preserve"> </w:t>
      </w:r>
      <w:r w:rsidR="00176C73" w:rsidRPr="00662BA1">
        <w:rPr>
          <w:szCs w:val="28"/>
        </w:rPr>
        <w:t xml:space="preserve">The common law exceptions to the overriding requirement that each offence be the subject of a separate count, namely of a continuing activity or a general term deficiency, did not arise. </w:t>
      </w:r>
      <w:r w:rsidR="008455AF" w:rsidRPr="00662BA1">
        <w:rPr>
          <w:szCs w:val="28"/>
        </w:rPr>
        <w:t xml:space="preserve"> </w:t>
      </w:r>
      <w:r w:rsidR="00176C73" w:rsidRPr="00662BA1">
        <w:rPr>
          <w:szCs w:val="28"/>
        </w:rPr>
        <w:t xml:space="preserve">The charges gave rise to unfairness. </w:t>
      </w:r>
      <w:r w:rsidR="008455AF" w:rsidRPr="00662BA1">
        <w:rPr>
          <w:szCs w:val="28"/>
        </w:rPr>
        <w:t xml:space="preserve"> </w:t>
      </w:r>
      <w:r w:rsidR="00176C73" w:rsidRPr="00662BA1">
        <w:rPr>
          <w:szCs w:val="28"/>
        </w:rPr>
        <w:t xml:space="preserve">In consequence, the applicant was placed in a position in which it was impossible to defend the charges. </w:t>
      </w:r>
      <w:r w:rsidR="008455AF" w:rsidRPr="00662BA1">
        <w:rPr>
          <w:szCs w:val="28"/>
        </w:rPr>
        <w:br w:type="page"/>
      </w:r>
    </w:p>
    <w:p w:rsidR="00176C73" w:rsidRPr="00662BA1" w:rsidRDefault="00176C73" w:rsidP="00176C73">
      <w:pPr>
        <w:tabs>
          <w:tab w:val="clear" w:pos="4320"/>
          <w:tab w:val="clear" w:pos="9072"/>
        </w:tabs>
        <w:snapToGrid/>
        <w:spacing w:before="360" w:line="360" w:lineRule="auto"/>
        <w:rPr>
          <w:i/>
          <w:szCs w:val="28"/>
        </w:rPr>
      </w:pPr>
      <w:r w:rsidRPr="00662BA1">
        <w:rPr>
          <w:i/>
          <w:szCs w:val="28"/>
        </w:rPr>
        <w:t>The reasonable grounds to believe test</w:t>
      </w:r>
    </w:p>
    <w:p w:rsidR="00176C73" w:rsidRPr="00662BA1" w:rsidRDefault="00052537" w:rsidP="008455AF">
      <w:pPr>
        <w:tabs>
          <w:tab w:val="clear" w:pos="4320"/>
          <w:tab w:val="clear" w:pos="9072"/>
        </w:tabs>
        <w:snapToGrid/>
        <w:spacing w:before="360" w:line="360" w:lineRule="auto"/>
        <w:jc w:val="both"/>
        <w:rPr>
          <w:szCs w:val="28"/>
        </w:rPr>
      </w:pPr>
      <w:r w:rsidRPr="00662BA1">
        <w:rPr>
          <w:szCs w:val="28"/>
        </w:rPr>
        <w:fldChar w:fldCharType="begin"/>
      </w:r>
      <w:r w:rsidR="008455AF" w:rsidRPr="00662BA1">
        <w:rPr>
          <w:szCs w:val="28"/>
        </w:rPr>
        <w:instrText xml:space="preserve"> AUTONUMOUT  </w:instrText>
      </w:r>
      <w:r w:rsidRPr="00662BA1">
        <w:rPr>
          <w:szCs w:val="28"/>
        </w:rPr>
        <w:fldChar w:fldCharType="end"/>
      </w:r>
      <w:r w:rsidR="008455AF" w:rsidRPr="00662BA1">
        <w:rPr>
          <w:szCs w:val="28"/>
        </w:rPr>
        <w:tab/>
      </w:r>
      <w:r w:rsidR="00176C73" w:rsidRPr="00662BA1">
        <w:rPr>
          <w:szCs w:val="28"/>
        </w:rPr>
        <w:t xml:space="preserve">By ground 1, it was submitted that the judge had erred in applying a two-stage test in his consideration of whether or not the applicant had reasonable grounds to believe that the money </w:t>
      </w:r>
      <w:r w:rsidR="00335C95">
        <w:rPr>
          <w:szCs w:val="28"/>
        </w:rPr>
        <w:t>derived from</w:t>
      </w:r>
      <w:r w:rsidR="00176C73" w:rsidRPr="00662BA1">
        <w:rPr>
          <w:szCs w:val="28"/>
        </w:rPr>
        <w:t xml:space="preserve"> the proceeds of an indictment of offence.</w:t>
      </w:r>
      <w:r w:rsidR="00176C73" w:rsidRPr="00662BA1">
        <w:rPr>
          <w:rStyle w:val="FootnoteReference"/>
          <w:szCs w:val="28"/>
        </w:rPr>
        <w:footnoteReference w:id="10"/>
      </w:r>
      <w:r w:rsidR="00176C73" w:rsidRPr="00662BA1">
        <w:rPr>
          <w:szCs w:val="28"/>
        </w:rPr>
        <w:t xml:space="preserve"> </w:t>
      </w:r>
      <w:r w:rsidR="008455AF" w:rsidRPr="00662BA1">
        <w:rPr>
          <w:szCs w:val="28"/>
        </w:rPr>
        <w:t xml:space="preserve"> </w:t>
      </w:r>
      <w:r w:rsidR="00176C73" w:rsidRPr="00662BA1">
        <w:rPr>
          <w:szCs w:val="28"/>
        </w:rPr>
        <w:t xml:space="preserve">In their judgments in </w:t>
      </w:r>
      <w:r w:rsidR="00176C73" w:rsidRPr="00662BA1">
        <w:rPr>
          <w:i/>
          <w:szCs w:val="28"/>
        </w:rPr>
        <w:t>Pang Hung Fai v HKSAR</w:t>
      </w:r>
      <w:r w:rsidR="00176C73" w:rsidRPr="00662BA1">
        <w:rPr>
          <w:szCs w:val="28"/>
        </w:rPr>
        <w:t>, delivered subsequent to the applicant’s trial, the Court of Final Appeal found that test to be erroneous.</w:t>
      </w:r>
      <w:r w:rsidR="00176C73" w:rsidRPr="00662BA1">
        <w:rPr>
          <w:rStyle w:val="FootnoteReference"/>
          <w:szCs w:val="28"/>
        </w:rPr>
        <w:footnoteReference w:id="11"/>
      </w:r>
      <w:r w:rsidR="00176C73" w:rsidRPr="00662BA1">
        <w:rPr>
          <w:szCs w:val="28"/>
        </w:rPr>
        <w:t xml:space="preserve"> </w:t>
      </w:r>
      <w:r w:rsidR="008455AF" w:rsidRPr="00662BA1">
        <w:rPr>
          <w:szCs w:val="28"/>
        </w:rPr>
        <w:t xml:space="preserve"> </w:t>
      </w:r>
      <w:r w:rsidR="00176C73" w:rsidRPr="00662BA1">
        <w:rPr>
          <w:szCs w:val="28"/>
        </w:rPr>
        <w:t>The judge’s application of the wrong test was a material error of law and/or material irregularity.</w:t>
      </w:r>
      <w:r w:rsidR="008455AF" w:rsidRPr="00662BA1">
        <w:rPr>
          <w:szCs w:val="28"/>
        </w:rPr>
        <w:t xml:space="preserve"> </w:t>
      </w:r>
      <w:r w:rsidR="00176C73" w:rsidRPr="00662BA1">
        <w:rPr>
          <w:szCs w:val="28"/>
        </w:rPr>
        <w:t xml:space="preserve"> First, the judge failed to consider whe</w:t>
      </w:r>
      <w:r w:rsidR="00CB782F" w:rsidRPr="00662BA1">
        <w:rPr>
          <w:szCs w:val="28"/>
        </w:rPr>
        <w:t>ther the applicant himself had “</w:t>
      </w:r>
      <w:r w:rsidR="00176C73" w:rsidRPr="00662BA1">
        <w:rPr>
          <w:szCs w:val="28"/>
        </w:rPr>
        <w:t>grounds</w:t>
      </w:r>
      <w:r w:rsidR="00CB782F" w:rsidRPr="00662BA1">
        <w:rPr>
          <w:szCs w:val="28"/>
        </w:rPr>
        <w:t>”</w:t>
      </w:r>
      <w:r w:rsidR="00176C73" w:rsidRPr="00662BA1">
        <w:rPr>
          <w:szCs w:val="28"/>
        </w:rPr>
        <w:t xml:space="preserve"> to believe, rather he had regard to an objective person. </w:t>
      </w:r>
      <w:r w:rsidR="00CB782F" w:rsidRPr="00662BA1">
        <w:rPr>
          <w:szCs w:val="28"/>
        </w:rPr>
        <w:t xml:space="preserve"> </w:t>
      </w:r>
      <w:r w:rsidR="00176C73" w:rsidRPr="00662BA1">
        <w:rPr>
          <w:szCs w:val="28"/>
        </w:rPr>
        <w:t>Sec</w:t>
      </w:r>
      <w:r w:rsidR="00CB782F" w:rsidRPr="00662BA1">
        <w:rPr>
          <w:szCs w:val="28"/>
        </w:rPr>
        <w:t>ondly, he considered objective “facts” rather than “</w:t>
      </w:r>
      <w:r w:rsidR="00176C73" w:rsidRPr="00662BA1">
        <w:rPr>
          <w:szCs w:val="28"/>
        </w:rPr>
        <w:t>grounds</w:t>
      </w:r>
      <w:r w:rsidR="00CB782F" w:rsidRPr="00662BA1">
        <w:rPr>
          <w:szCs w:val="28"/>
        </w:rPr>
        <w:t>”</w:t>
      </w:r>
      <w:r w:rsidR="00176C73" w:rsidRPr="00662BA1">
        <w:rPr>
          <w:szCs w:val="28"/>
        </w:rPr>
        <w:t>, the latter being the outcome of the app</w:t>
      </w:r>
      <w:r w:rsidR="00CB782F" w:rsidRPr="00662BA1">
        <w:rPr>
          <w:szCs w:val="28"/>
        </w:rPr>
        <w:t>licant’</w:t>
      </w:r>
      <w:r w:rsidR="00176C73" w:rsidRPr="00662BA1">
        <w:rPr>
          <w:szCs w:val="28"/>
        </w:rPr>
        <w:t xml:space="preserve">s thoughts or intentions. </w:t>
      </w:r>
      <w:r w:rsidR="00CB782F" w:rsidRPr="00662BA1">
        <w:rPr>
          <w:szCs w:val="28"/>
        </w:rPr>
        <w:t xml:space="preserve"> </w:t>
      </w:r>
      <w:r w:rsidR="00176C73" w:rsidRPr="00662BA1">
        <w:rPr>
          <w:szCs w:val="28"/>
        </w:rPr>
        <w:t>Thirdly, he failed to make sufficie</w:t>
      </w:r>
      <w:r w:rsidR="00CB782F" w:rsidRPr="00662BA1">
        <w:rPr>
          <w:szCs w:val="28"/>
        </w:rPr>
        <w:t>nt findings as to the applicant’</w:t>
      </w:r>
      <w:r w:rsidR="00176C73" w:rsidRPr="00662BA1">
        <w:rPr>
          <w:szCs w:val="28"/>
        </w:rPr>
        <w:t>s actual state of mind or belief.</w:t>
      </w:r>
    </w:p>
    <w:p w:rsidR="00176C73" w:rsidRPr="00662BA1" w:rsidRDefault="00176C73" w:rsidP="00176C73">
      <w:pPr>
        <w:tabs>
          <w:tab w:val="clear" w:pos="4320"/>
          <w:tab w:val="clear" w:pos="9072"/>
        </w:tabs>
        <w:snapToGrid/>
        <w:spacing w:before="360" w:line="360" w:lineRule="auto"/>
        <w:rPr>
          <w:i/>
          <w:szCs w:val="28"/>
        </w:rPr>
      </w:pPr>
      <w:r w:rsidRPr="00662BA1">
        <w:rPr>
          <w:i/>
          <w:szCs w:val="28"/>
        </w:rPr>
        <w:t xml:space="preserve">Repository of funds </w:t>
      </w:r>
    </w:p>
    <w:p w:rsidR="00176C73" w:rsidRPr="00662BA1" w:rsidRDefault="00052537" w:rsidP="00CB782F">
      <w:pPr>
        <w:tabs>
          <w:tab w:val="clear" w:pos="4320"/>
          <w:tab w:val="clear" w:pos="9072"/>
        </w:tabs>
        <w:snapToGrid/>
        <w:spacing w:before="360" w:line="360" w:lineRule="auto"/>
        <w:jc w:val="both"/>
        <w:rPr>
          <w:szCs w:val="28"/>
        </w:rPr>
      </w:pPr>
      <w:r w:rsidRPr="00662BA1">
        <w:rPr>
          <w:szCs w:val="28"/>
        </w:rPr>
        <w:fldChar w:fldCharType="begin"/>
      </w:r>
      <w:r w:rsidR="00CB782F" w:rsidRPr="00662BA1">
        <w:rPr>
          <w:szCs w:val="28"/>
        </w:rPr>
        <w:instrText xml:space="preserve"> AUTONUMOUT  </w:instrText>
      </w:r>
      <w:r w:rsidRPr="00662BA1">
        <w:rPr>
          <w:szCs w:val="28"/>
        </w:rPr>
        <w:fldChar w:fldCharType="end"/>
      </w:r>
      <w:r w:rsidR="00CB782F" w:rsidRPr="00662BA1">
        <w:rPr>
          <w:szCs w:val="28"/>
        </w:rPr>
        <w:tab/>
      </w:r>
      <w:r w:rsidR="00176C73" w:rsidRPr="00662BA1">
        <w:rPr>
          <w:szCs w:val="28"/>
        </w:rPr>
        <w:t>By grounds 2A and 3, it was submitted that the judge erred in finding that the fiv</w:t>
      </w:r>
      <w:r w:rsidR="00CB782F" w:rsidRPr="00662BA1">
        <w:rPr>
          <w:szCs w:val="28"/>
        </w:rPr>
        <w:t>e bank accounts were used as a “</w:t>
      </w:r>
      <w:r w:rsidR="00176C73" w:rsidRPr="00662BA1">
        <w:rPr>
          <w:szCs w:val="28"/>
        </w:rPr>
        <w:t>repository of funds</w:t>
      </w:r>
      <w:r w:rsidR="00CB782F" w:rsidRPr="00662BA1">
        <w:rPr>
          <w:szCs w:val="28"/>
        </w:rPr>
        <w:t>”</w:t>
      </w:r>
      <w:r w:rsidR="00176C73" w:rsidRPr="00662BA1">
        <w:rPr>
          <w:szCs w:val="28"/>
        </w:rPr>
        <w:t xml:space="preserve">, in particular by having regard to the fact that the opening and closing balances were of the respective accounts were relatively similar. </w:t>
      </w:r>
      <w:r w:rsidR="00CB782F" w:rsidRPr="00662BA1">
        <w:rPr>
          <w:szCs w:val="28"/>
        </w:rPr>
        <w:t xml:space="preserve"> </w:t>
      </w:r>
      <w:r w:rsidR="00176C73" w:rsidRPr="00662BA1">
        <w:rPr>
          <w:szCs w:val="28"/>
        </w:rPr>
        <w:t xml:space="preserve">Even if the judge’s finding was correct, he was not entitled to conclude </w:t>
      </w:r>
      <w:r w:rsidR="00CB782F" w:rsidRPr="00662BA1">
        <w:rPr>
          <w:szCs w:val="28"/>
        </w:rPr>
        <w:t>that “</w:t>
      </w:r>
      <w:r w:rsidR="00176C73" w:rsidRPr="00662BA1">
        <w:rPr>
          <w:szCs w:val="28"/>
        </w:rPr>
        <w:t>was one of th</w:t>
      </w:r>
      <w:r w:rsidR="00CB782F" w:rsidRPr="00662BA1">
        <w:rPr>
          <w:szCs w:val="28"/>
        </w:rPr>
        <w:t>e reasonable grounds to believe”</w:t>
      </w:r>
      <w:r w:rsidR="00176C73" w:rsidRPr="00662BA1">
        <w:rPr>
          <w:szCs w:val="28"/>
        </w:rPr>
        <w:t xml:space="preserve"> that the funds dealt with by the applicant in the accounts were the proceeds of an indictable offence. </w:t>
      </w:r>
      <w:r w:rsidR="00CB782F" w:rsidRPr="00662BA1">
        <w:rPr>
          <w:szCs w:val="28"/>
        </w:rPr>
        <w:t xml:space="preserve"> </w:t>
      </w:r>
      <w:r w:rsidR="00176C73" w:rsidRPr="00662BA1">
        <w:rPr>
          <w:szCs w:val="28"/>
        </w:rPr>
        <w:t>Only conduct of the applicant before or at the time of dealing with the monies, not what happened afterwards, could be reasonable grounds for the applicant to believe that the monies with which he dealt were the proceeds of an indictable offence.</w:t>
      </w:r>
    </w:p>
    <w:p w:rsidR="00176C73" w:rsidRPr="00662BA1" w:rsidRDefault="00176C73" w:rsidP="00176C73">
      <w:pPr>
        <w:tabs>
          <w:tab w:val="clear" w:pos="4320"/>
          <w:tab w:val="clear" w:pos="9072"/>
        </w:tabs>
        <w:snapToGrid/>
        <w:spacing w:before="360" w:line="360" w:lineRule="auto"/>
        <w:rPr>
          <w:i/>
          <w:szCs w:val="28"/>
        </w:rPr>
      </w:pPr>
      <w:r w:rsidRPr="00662BA1">
        <w:rPr>
          <w:i/>
          <w:szCs w:val="28"/>
        </w:rPr>
        <w:t>Neptune Club and Massive Resources Ltd</w:t>
      </w:r>
    </w:p>
    <w:p w:rsidR="00176C73" w:rsidRPr="00662BA1" w:rsidRDefault="00052537" w:rsidP="00011250">
      <w:pPr>
        <w:tabs>
          <w:tab w:val="clear" w:pos="4320"/>
          <w:tab w:val="clear" w:pos="9072"/>
        </w:tabs>
        <w:snapToGrid/>
        <w:spacing w:before="360" w:line="360" w:lineRule="auto"/>
        <w:jc w:val="both"/>
        <w:rPr>
          <w:szCs w:val="28"/>
        </w:rPr>
      </w:pPr>
      <w:r w:rsidRPr="00662BA1">
        <w:rPr>
          <w:szCs w:val="28"/>
        </w:rPr>
        <w:fldChar w:fldCharType="begin"/>
      </w:r>
      <w:r w:rsidR="00011250" w:rsidRPr="00662BA1">
        <w:rPr>
          <w:szCs w:val="28"/>
        </w:rPr>
        <w:instrText xml:space="preserve"> AUTONUMOUT  </w:instrText>
      </w:r>
      <w:r w:rsidRPr="00662BA1">
        <w:rPr>
          <w:szCs w:val="28"/>
        </w:rPr>
        <w:fldChar w:fldCharType="end"/>
      </w:r>
      <w:r w:rsidR="00011250" w:rsidRPr="00662BA1">
        <w:rPr>
          <w:szCs w:val="28"/>
        </w:rPr>
        <w:tab/>
      </w:r>
      <w:r w:rsidR="00176C73" w:rsidRPr="00662BA1">
        <w:rPr>
          <w:szCs w:val="28"/>
        </w:rPr>
        <w:t xml:space="preserve">Of the deposits made into one or other of the five bank accounts, said by the applicant to have been made by or at the behest of Lin </w:t>
      </w:r>
      <w:proofErr w:type="spellStart"/>
      <w:r w:rsidR="00176C73" w:rsidRPr="00662BA1">
        <w:rPr>
          <w:szCs w:val="28"/>
        </w:rPr>
        <w:t>Cheuk</w:t>
      </w:r>
      <w:proofErr w:type="spellEnd"/>
      <w:r w:rsidR="00176C73" w:rsidRPr="00662BA1">
        <w:rPr>
          <w:szCs w:val="28"/>
        </w:rPr>
        <w:t xml:space="preserve"> Fung and Cheung Chi Tai in relation to his investment and that of his father into</w:t>
      </w:r>
      <w:r w:rsidR="00176C73" w:rsidRPr="00662BA1">
        <w:rPr>
          <w:i/>
          <w:szCs w:val="28"/>
        </w:rPr>
        <w:t xml:space="preserve"> </w:t>
      </w:r>
      <w:r w:rsidR="00176C73" w:rsidRPr="00662BA1">
        <w:rPr>
          <w:szCs w:val="28"/>
        </w:rPr>
        <w:t>Neptune Club and Massive Resources Limited, it was submitted that the judge had erred in finding that the applicant had reasonable grounds to believe that they were the proceeds of an indictable offence</w:t>
      </w:r>
      <w:r w:rsidR="00176C73" w:rsidRPr="00662BA1">
        <w:rPr>
          <w:i/>
          <w:szCs w:val="28"/>
        </w:rPr>
        <w:t>.</w:t>
      </w:r>
      <w:r w:rsidR="00011250" w:rsidRPr="00662BA1">
        <w:rPr>
          <w:szCs w:val="28"/>
        </w:rPr>
        <w:t xml:space="preserve"> </w:t>
      </w:r>
      <w:r w:rsidR="00176C73" w:rsidRPr="00662BA1">
        <w:rPr>
          <w:i/>
          <w:szCs w:val="28"/>
        </w:rPr>
        <w:t xml:space="preserve"> </w:t>
      </w:r>
      <w:r w:rsidR="00176C73" w:rsidRPr="00662BA1">
        <w:rPr>
          <w:szCs w:val="28"/>
        </w:rPr>
        <w:t xml:space="preserve">First, since the judge was unable to make a finding as to the reasons for those deposits, there was no evidential basis to make that finding. </w:t>
      </w:r>
      <w:r w:rsidR="00011250" w:rsidRPr="00662BA1">
        <w:rPr>
          <w:szCs w:val="28"/>
        </w:rPr>
        <w:t xml:space="preserve"> Secondly, given the judge’</w:t>
      </w:r>
      <w:r w:rsidR="00176C73" w:rsidRPr="00662BA1">
        <w:rPr>
          <w:szCs w:val="28"/>
        </w:rPr>
        <w:t>s findings</w:t>
      </w:r>
      <w:r w:rsidR="00176C73" w:rsidRPr="00662BA1">
        <w:rPr>
          <w:rStyle w:val="FootnoteReference"/>
          <w:szCs w:val="28"/>
        </w:rPr>
        <w:footnoteReference w:id="12"/>
      </w:r>
      <w:r w:rsidR="00176C73" w:rsidRPr="00662BA1">
        <w:rPr>
          <w:szCs w:val="28"/>
        </w:rPr>
        <w:t>, the applicant might have been found guilty in respect of his dealing with thos</w:t>
      </w:r>
      <w:r w:rsidR="00011250" w:rsidRPr="00662BA1">
        <w:rPr>
          <w:szCs w:val="28"/>
        </w:rPr>
        <w:t>e monies on the basis of their “</w:t>
      </w:r>
      <w:r w:rsidR="00176C73" w:rsidRPr="00662BA1">
        <w:rPr>
          <w:szCs w:val="28"/>
        </w:rPr>
        <w:t>inappropriate</w:t>
      </w:r>
      <w:r w:rsidR="00011250" w:rsidRPr="00662BA1">
        <w:rPr>
          <w:szCs w:val="28"/>
        </w:rPr>
        <w:t>” rather than “illegal”</w:t>
      </w:r>
      <w:r w:rsidR="00176C73" w:rsidRPr="00662BA1">
        <w:rPr>
          <w:szCs w:val="28"/>
        </w:rPr>
        <w:t xml:space="preserve"> provenance. </w:t>
      </w:r>
      <w:r w:rsidR="00011250" w:rsidRPr="00662BA1">
        <w:rPr>
          <w:szCs w:val="28"/>
        </w:rPr>
        <w:t xml:space="preserve"> </w:t>
      </w:r>
      <w:r w:rsidR="00176C73" w:rsidRPr="00662BA1">
        <w:rPr>
          <w:szCs w:val="28"/>
        </w:rPr>
        <w:t xml:space="preserve">Thirdly, where the provenance of the monies dealt with by </w:t>
      </w:r>
      <w:r w:rsidR="00011250" w:rsidRPr="00662BA1">
        <w:rPr>
          <w:szCs w:val="28"/>
        </w:rPr>
        <w:t>the applicant was the applicant’</w:t>
      </w:r>
      <w:r w:rsidR="00176C73" w:rsidRPr="00662BA1">
        <w:rPr>
          <w:szCs w:val="28"/>
        </w:rPr>
        <w:t>s own misconduct, the applicant cou</w:t>
      </w:r>
      <w:r w:rsidR="00011250" w:rsidRPr="00662BA1">
        <w:rPr>
          <w:szCs w:val="28"/>
        </w:rPr>
        <w:t>ld only be found guilty on the “knowing”</w:t>
      </w:r>
      <w:r w:rsidR="00176C73" w:rsidRPr="00662BA1">
        <w:rPr>
          <w:szCs w:val="28"/>
        </w:rPr>
        <w:t xml:space="preserve"> limb of </w:t>
      </w:r>
      <w:proofErr w:type="spellStart"/>
      <w:r w:rsidR="00011250" w:rsidRPr="00662BA1">
        <w:rPr>
          <w:i/>
          <w:szCs w:val="28"/>
        </w:rPr>
        <w:t>mens</w:t>
      </w:r>
      <w:proofErr w:type="spellEnd"/>
      <w:r w:rsidR="00011250" w:rsidRPr="00662BA1">
        <w:rPr>
          <w:i/>
          <w:szCs w:val="28"/>
        </w:rPr>
        <w:t> </w:t>
      </w:r>
      <w:proofErr w:type="spellStart"/>
      <w:r w:rsidR="00176C73" w:rsidRPr="00662BA1">
        <w:rPr>
          <w:i/>
          <w:szCs w:val="28"/>
        </w:rPr>
        <w:t>rea</w:t>
      </w:r>
      <w:proofErr w:type="spellEnd"/>
      <w:r w:rsidR="00176C73" w:rsidRPr="00662BA1">
        <w:rPr>
          <w:szCs w:val="28"/>
        </w:rPr>
        <w:t>, so that proof was required of the underlying predicate offence.</w:t>
      </w:r>
      <w:r w:rsidR="00011250" w:rsidRPr="00662BA1">
        <w:rPr>
          <w:szCs w:val="28"/>
        </w:rPr>
        <w:t xml:space="preserve"> </w:t>
      </w:r>
      <w:r w:rsidR="00176C73" w:rsidRPr="00662BA1">
        <w:rPr>
          <w:szCs w:val="28"/>
        </w:rPr>
        <w:t xml:space="preserve"> Fourthly, the judge failed to g</w:t>
      </w:r>
      <w:r w:rsidR="00011250" w:rsidRPr="00662BA1">
        <w:rPr>
          <w:szCs w:val="28"/>
        </w:rPr>
        <w:t>ive any weight to the applicant’</w:t>
      </w:r>
      <w:r w:rsidR="00176C73" w:rsidRPr="00662BA1">
        <w:rPr>
          <w:szCs w:val="28"/>
        </w:rPr>
        <w:t>s belief of the propriety of those deposits and erred in having regard to the fact that the payment</w:t>
      </w:r>
      <w:r w:rsidR="00011250" w:rsidRPr="00662BA1">
        <w:rPr>
          <w:szCs w:val="28"/>
        </w:rPr>
        <w:t>s were made by or on behalf of “</w:t>
      </w:r>
      <w:r w:rsidR="00176C73" w:rsidRPr="00662BA1">
        <w:rPr>
          <w:szCs w:val="28"/>
        </w:rPr>
        <w:t>bosses of a VIP room and a casino in Macau</w:t>
      </w:r>
      <w:proofErr w:type="gramStart"/>
      <w:r w:rsidR="00011250" w:rsidRPr="00662BA1">
        <w:rPr>
          <w:szCs w:val="28"/>
        </w:rPr>
        <w:t>” </w:t>
      </w:r>
      <w:proofErr w:type="gramEnd"/>
      <w:r w:rsidR="00176C73" w:rsidRPr="00662BA1">
        <w:rPr>
          <w:rStyle w:val="FootnoteReference"/>
          <w:szCs w:val="28"/>
        </w:rPr>
        <w:footnoteReference w:id="13"/>
      </w:r>
      <w:r w:rsidR="00011250" w:rsidRPr="00662BA1">
        <w:rPr>
          <w:szCs w:val="28"/>
        </w:rPr>
        <w:t>.</w:t>
      </w:r>
    </w:p>
    <w:p w:rsidR="00176C73" w:rsidRPr="00662BA1" w:rsidRDefault="00176C73" w:rsidP="00176C73">
      <w:pPr>
        <w:tabs>
          <w:tab w:val="clear" w:pos="4320"/>
          <w:tab w:val="clear" w:pos="9072"/>
        </w:tabs>
        <w:snapToGrid/>
        <w:spacing w:before="360" w:line="360" w:lineRule="auto"/>
        <w:rPr>
          <w:i/>
          <w:szCs w:val="28"/>
        </w:rPr>
      </w:pPr>
      <w:r w:rsidRPr="00662BA1">
        <w:rPr>
          <w:i/>
          <w:szCs w:val="28"/>
        </w:rPr>
        <w:t>Cash deposits</w:t>
      </w:r>
    </w:p>
    <w:p w:rsidR="00176C73" w:rsidRPr="00662BA1" w:rsidRDefault="00052537" w:rsidP="00011250">
      <w:pPr>
        <w:tabs>
          <w:tab w:val="clear" w:pos="4320"/>
          <w:tab w:val="clear" w:pos="9072"/>
        </w:tabs>
        <w:snapToGrid/>
        <w:spacing w:before="360" w:line="360" w:lineRule="auto"/>
        <w:jc w:val="both"/>
        <w:rPr>
          <w:szCs w:val="28"/>
        </w:rPr>
      </w:pPr>
      <w:r w:rsidRPr="00662BA1">
        <w:rPr>
          <w:szCs w:val="28"/>
        </w:rPr>
        <w:fldChar w:fldCharType="begin"/>
      </w:r>
      <w:r w:rsidR="00011250" w:rsidRPr="00662BA1">
        <w:rPr>
          <w:szCs w:val="28"/>
        </w:rPr>
        <w:instrText xml:space="preserve"> AUTONUMOUT  </w:instrText>
      </w:r>
      <w:r w:rsidRPr="00662BA1">
        <w:rPr>
          <w:szCs w:val="28"/>
        </w:rPr>
        <w:fldChar w:fldCharType="end"/>
      </w:r>
      <w:r w:rsidR="00011250" w:rsidRPr="00662BA1">
        <w:rPr>
          <w:szCs w:val="28"/>
        </w:rPr>
        <w:tab/>
      </w:r>
      <w:r w:rsidR="00176C73" w:rsidRPr="00662BA1">
        <w:rPr>
          <w:szCs w:val="28"/>
        </w:rPr>
        <w:t>By ground 7 it was submitted that the judge erre</w:t>
      </w:r>
      <w:r w:rsidR="0051069B" w:rsidRPr="00662BA1">
        <w:rPr>
          <w:szCs w:val="28"/>
        </w:rPr>
        <w:t>d in finding that there was no “</w:t>
      </w:r>
      <w:r w:rsidR="00176C73" w:rsidRPr="00662BA1">
        <w:rPr>
          <w:szCs w:val="28"/>
        </w:rPr>
        <w:t xml:space="preserve">cash generating business that would generate the </w:t>
      </w:r>
      <w:r w:rsidR="0051069B" w:rsidRPr="00662BA1">
        <w:rPr>
          <w:szCs w:val="28"/>
        </w:rPr>
        <w:t>kind of cash that was deposited</w:t>
      </w:r>
      <w:proofErr w:type="gramStart"/>
      <w:r w:rsidR="0051069B" w:rsidRPr="00662BA1">
        <w:rPr>
          <w:szCs w:val="28"/>
        </w:rPr>
        <w:t>” </w:t>
      </w:r>
      <w:proofErr w:type="gramEnd"/>
      <w:r w:rsidR="00176C73" w:rsidRPr="00662BA1">
        <w:rPr>
          <w:rStyle w:val="FootnoteReference"/>
          <w:szCs w:val="28"/>
        </w:rPr>
        <w:footnoteReference w:id="14"/>
      </w:r>
      <w:r w:rsidR="00176C73" w:rsidRPr="00662BA1">
        <w:rPr>
          <w:szCs w:val="28"/>
        </w:rPr>
        <w:t>.</w:t>
      </w:r>
      <w:r w:rsidR="0051069B" w:rsidRPr="00662BA1">
        <w:rPr>
          <w:szCs w:val="28"/>
          <w:lang w:val="en-US"/>
        </w:rPr>
        <w:t xml:space="preserve"> </w:t>
      </w:r>
      <w:r w:rsidR="00176C73" w:rsidRPr="00662BA1">
        <w:rPr>
          <w:szCs w:val="28"/>
        </w:rPr>
        <w:t xml:space="preserve"> The judge erred in</w:t>
      </w:r>
      <w:r w:rsidR="00966248">
        <w:rPr>
          <w:szCs w:val="28"/>
        </w:rPr>
        <w:t xml:space="preserve"> having regard to that finding “</w:t>
      </w:r>
      <w:r w:rsidR="00176C73" w:rsidRPr="00662BA1">
        <w:rPr>
          <w:szCs w:val="28"/>
        </w:rPr>
        <w:t xml:space="preserve">as a key basis of his findings of guilt of </w:t>
      </w:r>
      <w:r w:rsidR="00103276" w:rsidRPr="00662BA1">
        <w:rPr>
          <w:szCs w:val="28"/>
        </w:rPr>
        <w:t xml:space="preserve">all </w:t>
      </w:r>
      <w:r w:rsidR="00103276" w:rsidRPr="00662BA1">
        <w:rPr>
          <w:szCs w:val="28"/>
          <w:lang w:val="en-US"/>
        </w:rPr>
        <w:t>five</w:t>
      </w:r>
      <w:r w:rsidR="00176C73" w:rsidRPr="00662BA1">
        <w:rPr>
          <w:szCs w:val="28"/>
        </w:rPr>
        <w:t xml:space="preserve"> charges.</w:t>
      </w:r>
      <w:r w:rsidR="00103276" w:rsidRPr="00662BA1">
        <w:rPr>
          <w:szCs w:val="28"/>
        </w:rPr>
        <w:t>” </w:t>
      </w:r>
      <w:r w:rsidR="00176C73" w:rsidRPr="00662BA1">
        <w:rPr>
          <w:rStyle w:val="FootnoteReference"/>
          <w:szCs w:val="28"/>
        </w:rPr>
        <w:footnoteReference w:id="15"/>
      </w:r>
      <w:r w:rsidR="00176C73" w:rsidRPr="00662BA1">
        <w:rPr>
          <w:szCs w:val="28"/>
        </w:rPr>
        <w:t xml:space="preserve"> </w:t>
      </w:r>
      <w:r w:rsidR="00103276" w:rsidRPr="00662BA1">
        <w:rPr>
          <w:szCs w:val="28"/>
        </w:rPr>
        <w:t xml:space="preserve"> </w:t>
      </w:r>
      <w:r w:rsidR="00176C73" w:rsidRPr="00662BA1">
        <w:rPr>
          <w:szCs w:val="28"/>
        </w:rPr>
        <w:t xml:space="preserve">There </w:t>
      </w:r>
      <w:r w:rsidR="001559F5" w:rsidRPr="00662BA1">
        <w:rPr>
          <w:szCs w:val="28"/>
        </w:rPr>
        <w:t>was evidence that the applicant’</w:t>
      </w:r>
      <w:r w:rsidR="00176C73" w:rsidRPr="00662BA1">
        <w:rPr>
          <w:szCs w:val="28"/>
        </w:rPr>
        <w:t xml:space="preserve">s share trading activities generated large amounts of cash transactions. </w:t>
      </w:r>
      <w:r w:rsidR="001559F5" w:rsidRPr="00662BA1">
        <w:rPr>
          <w:szCs w:val="28"/>
        </w:rPr>
        <w:t xml:space="preserve"> Significantly, about $60 million of the total of $97.5 </w:t>
      </w:r>
      <w:r w:rsidR="00176C73" w:rsidRPr="00662BA1">
        <w:rPr>
          <w:szCs w:val="28"/>
        </w:rPr>
        <w:t>mill</w:t>
      </w:r>
      <w:r w:rsidR="001559F5" w:rsidRPr="00662BA1">
        <w:rPr>
          <w:szCs w:val="28"/>
        </w:rPr>
        <w:t>ion deposited as cash into the five</w:t>
      </w:r>
      <w:r w:rsidR="00176C73" w:rsidRPr="00662BA1">
        <w:rPr>
          <w:szCs w:val="28"/>
        </w:rPr>
        <w:t xml:space="preserve"> bank accounts in the overall period was deposited in 2001.</w:t>
      </w:r>
      <w:r w:rsidR="00176C73" w:rsidRPr="00662BA1">
        <w:rPr>
          <w:rStyle w:val="FootnoteReference"/>
          <w:szCs w:val="28"/>
        </w:rPr>
        <w:footnoteReference w:id="16"/>
      </w:r>
      <w:r w:rsidR="001559F5" w:rsidRPr="00662BA1">
        <w:rPr>
          <w:szCs w:val="28"/>
        </w:rPr>
        <w:t xml:space="preserve">  </w:t>
      </w:r>
      <w:r w:rsidR="00176C73" w:rsidRPr="00662BA1">
        <w:rPr>
          <w:szCs w:val="28"/>
        </w:rPr>
        <w:t>That coincided with trading activities in the secu</w:t>
      </w:r>
      <w:r w:rsidR="001559F5" w:rsidRPr="00662BA1">
        <w:rPr>
          <w:szCs w:val="28"/>
        </w:rPr>
        <w:t>rity accounts of more than $1.5 </w:t>
      </w:r>
      <w:r w:rsidR="00176C73" w:rsidRPr="00662BA1">
        <w:rPr>
          <w:szCs w:val="28"/>
        </w:rPr>
        <w:t xml:space="preserve">billion. </w:t>
      </w:r>
      <w:r w:rsidR="001559F5" w:rsidRPr="00662BA1">
        <w:rPr>
          <w:szCs w:val="28"/>
        </w:rPr>
        <w:t xml:space="preserve"> </w:t>
      </w:r>
      <w:r w:rsidR="00176C73" w:rsidRPr="00662BA1">
        <w:rPr>
          <w:szCs w:val="28"/>
        </w:rPr>
        <w:t>Further, it was contended that the judge had made no finding that the applicant had reasonable grounds to believe of any particular deposit in cash, or cash deposits in general, that they were the proceeds of an indictable offence.</w:t>
      </w:r>
    </w:p>
    <w:p w:rsidR="00176C73" w:rsidRPr="00662BA1" w:rsidRDefault="00176C73" w:rsidP="00176C73">
      <w:pPr>
        <w:tabs>
          <w:tab w:val="clear" w:pos="4320"/>
          <w:tab w:val="clear" w:pos="9072"/>
        </w:tabs>
        <w:snapToGrid/>
        <w:spacing w:before="360" w:line="360" w:lineRule="auto"/>
        <w:rPr>
          <w:i/>
          <w:szCs w:val="28"/>
        </w:rPr>
      </w:pPr>
      <w:r w:rsidRPr="00662BA1">
        <w:rPr>
          <w:i/>
          <w:szCs w:val="28"/>
        </w:rPr>
        <w:t xml:space="preserve">Gold </w:t>
      </w:r>
      <w:proofErr w:type="spellStart"/>
      <w:proofErr w:type="gramStart"/>
      <w:r w:rsidRPr="00662BA1">
        <w:rPr>
          <w:i/>
          <w:szCs w:val="28"/>
        </w:rPr>
        <w:t>Wo</w:t>
      </w:r>
      <w:proofErr w:type="spellEnd"/>
      <w:proofErr w:type="gramEnd"/>
    </w:p>
    <w:p w:rsidR="00176C73" w:rsidRPr="00662BA1" w:rsidRDefault="00052537" w:rsidP="001559F5">
      <w:pPr>
        <w:tabs>
          <w:tab w:val="clear" w:pos="4320"/>
          <w:tab w:val="clear" w:pos="9072"/>
        </w:tabs>
        <w:snapToGrid/>
        <w:spacing w:before="360" w:line="360" w:lineRule="auto"/>
        <w:jc w:val="both"/>
        <w:rPr>
          <w:szCs w:val="28"/>
        </w:rPr>
      </w:pPr>
      <w:r w:rsidRPr="00662BA1">
        <w:rPr>
          <w:szCs w:val="28"/>
        </w:rPr>
        <w:fldChar w:fldCharType="begin"/>
      </w:r>
      <w:r w:rsidR="001559F5" w:rsidRPr="00662BA1">
        <w:rPr>
          <w:szCs w:val="28"/>
        </w:rPr>
        <w:instrText xml:space="preserve"> AUTONUMOUT  </w:instrText>
      </w:r>
      <w:r w:rsidRPr="00662BA1">
        <w:rPr>
          <w:szCs w:val="28"/>
        </w:rPr>
        <w:fldChar w:fldCharType="end"/>
      </w:r>
      <w:r w:rsidR="001559F5" w:rsidRPr="00662BA1">
        <w:rPr>
          <w:szCs w:val="28"/>
        </w:rPr>
        <w:tab/>
      </w:r>
      <w:r w:rsidR="00176C73" w:rsidRPr="00662BA1">
        <w:rPr>
          <w:szCs w:val="28"/>
        </w:rPr>
        <w:t>By ground 8, it was submitted that the judge erred in determining of the dealings between t</w:t>
      </w:r>
      <w:r w:rsidR="00E86100" w:rsidRPr="00662BA1">
        <w:rPr>
          <w:szCs w:val="28"/>
        </w:rPr>
        <w:t>he applicant, his father and Ms </w:t>
      </w:r>
      <w:r w:rsidR="00176C73" w:rsidRPr="00662BA1">
        <w:rPr>
          <w:szCs w:val="28"/>
        </w:rPr>
        <w:t xml:space="preserve">Yu in respect of Gold </w:t>
      </w:r>
      <w:proofErr w:type="spellStart"/>
      <w:r w:rsidR="00176C73" w:rsidRPr="00662BA1">
        <w:rPr>
          <w:szCs w:val="28"/>
        </w:rPr>
        <w:t>Wo</w:t>
      </w:r>
      <w:proofErr w:type="spellEnd"/>
      <w:r w:rsidR="00176C73" w:rsidRPr="00662BA1">
        <w:rPr>
          <w:szCs w:val="28"/>
        </w:rPr>
        <w:t xml:space="preserve"> shares, that there were reasonab</w:t>
      </w:r>
      <w:r w:rsidR="00E86100" w:rsidRPr="00662BA1">
        <w:rPr>
          <w:szCs w:val="28"/>
        </w:rPr>
        <w:t>le grounds to believe that “</w:t>
      </w:r>
      <w:r w:rsidR="00176C73" w:rsidRPr="00662BA1">
        <w:rPr>
          <w:szCs w:val="28"/>
        </w:rPr>
        <w:t>the money involved in the transactions represented wholly or in part directly or indirectly proceeds of an indictable offence</w:t>
      </w:r>
      <w:r w:rsidR="0043749D" w:rsidRPr="00662BA1">
        <w:rPr>
          <w:szCs w:val="28"/>
        </w:rPr>
        <w:t>”</w:t>
      </w:r>
      <w:r w:rsidR="00176C73" w:rsidRPr="00662BA1">
        <w:rPr>
          <w:szCs w:val="28"/>
        </w:rPr>
        <w:t>.</w:t>
      </w:r>
      <w:r w:rsidR="00176C73" w:rsidRPr="00662BA1">
        <w:rPr>
          <w:rStyle w:val="FootnoteReference"/>
          <w:szCs w:val="28"/>
        </w:rPr>
        <w:footnoteReference w:id="17"/>
      </w:r>
      <w:r w:rsidR="00176C73" w:rsidRPr="00662BA1">
        <w:rPr>
          <w:szCs w:val="28"/>
        </w:rPr>
        <w:t xml:space="preserve"> </w:t>
      </w:r>
      <w:r w:rsidR="00E86100" w:rsidRPr="00662BA1">
        <w:rPr>
          <w:szCs w:val="28"/>
        </w:rPr>
        <w:t xml:space="preserve"> </w:t>
      </w:r>
      <w:r w:rsidR="00176C73" w:rsidRPr="00662BA1">
        <w:rPr>
          <w:szCs w:val="28"/>
        </w:rPr>
        <w:t>The judge erred in making that determination in reliance on his earlier finding that the absence of a written agreement between the p</w:t>
      </w:r>
      <w:r w:rsidR="0043749D" w:rsidRPr="00662BA1">
        <w:rPr>
          <w:szCs w:val="28"/>
        </w:rPr>
        <w:t>arties was because the parties “did not want Ms </w:t>
      </w:r>
      <w:r w:rsidR="00176C73" w:rsidRPr="00662BA1">
        <w:rPr>
          <w:szCs w:val="28"/>
        </w:rPr>
        <w:t>Yu</w:t>
      </w:r>
      <w:r w:rsidR="0043749D" w:rsidRPr="00662BA1">
        <w:rPr>
          <w:szCs w:val="28"/>
        </w:rPr>
        <w:t>’s involvement to be known”</w:t>
      </w:r>
      <w:r w:rsidR="00176C73" w:rsidRPr="00662BA1">
        <w:rPr>
          <w:szCs w:val="28"/>
        </w:rPr>
        <w:t xml:space="preserve"> and given his finding that he did not know why her involvement was concealed. </w:t>
      </w:r>
      <w:r w:rsidR="0043749D" w:rsidRPr="00662BA1">
        <w:rPr>
          <w:szCs w:val="28"/>
        </w:rPr>
        <w:t xml:space="preserve"> </w:t>
      </w:r>
      <w:r w:rsidR="00176C73" w:rsidRPr="00662BA1">
        <w:rPr>
          <w:szCs w:val="28"/>
        </w:rPr>
        <w:t>Her involvement was not concealed, given the existence of written instructions from both the applicant and his father to transfer monies to her account with Hooray Securities.  If the impugned tr</w:t>
      </w:r>
      <w:r w:rsidR="008B7BBB" w:rsidRPr="00662BA1">
        <w:rPr>
          <w:szCs w:val="28"/>
        </w:rPr>
        <w:t>ansaction was the payment to Ms Yu of $64.35 </w:t>
      </w:r>
      <w:r w:rsidR="00176C73" w:rsidRPr="00662BA1">
        <w:rPr>
          <w:szCs w:val="28"/>
        </w:rPr>
        <w:t>million, and not the other payments, at most that related to prospective criminal conduct and not to dealing in the proceeds of an indictable offence and was not an offence.</w:t>
      </w:r>
      <w:r w:rsidR="00176C73" w:rsidRPr="00662BA1">
        <w:rPr>
          <w:rStyle w:val="FootnoteReference"/>
          <w:szCs w:val="28"/>
        </w:rPr>
        <w:footnoteReference w:id="18"/>
      </w:r>
    </w:p>
    <w:p w:rsidR="00176C73" w:rsidRPr="00662BA1" w:rsidRDefault="00176C73" w:rsidP="00176C73">
      <w:pPr>
        <w:tabs>
          <w:tab w:val="clear" w:pos="4320"/>
          <w:tab w:val="clear" w:pos="9072"/>
        </w:tabs>
        <w:snapToGrid/>
        <w:spacing w:before="360" w:line="360" w:lineRule="auto"/>
        <w:rPr>
          <w:i/>
          <w:szCs w:val="28"/>
        </w:rPr>
      </w:pPr>
      <w:r w:rsidRPr="00662BA1">
        <w:rPr>
          <w:i/>
          <w:szCs w:val="28"/>
        </w:rPr>
        <w:t>SJM cheque deposits</w:t>
      </w:r>
    </w:p>
    <w:p w:rsidR="00176C73" w:rsidRPr="00662BA1" w:rsidRDefault="00052537" w:rsidP="008B7BBB">
      <w:pPr>
        <w:tabs>
          <w:tab w:val="clear" w:pos="4320"/>
          <w:tab w:val="clear" w:pos="9072"/>
        </w:tabs>
        <w:snapToGrid/>
        <w:spacing w:before="360" w:line="360" w:lineRule="auto"/>
        <w:jc w:val="both"/>
        <w:rPr>
          <w:szCs w:val="28"/>
        </w:rPr>
      </w:pPr>
      <w:r w:rsidRPr="00662BA1">
        <w:rPr>
          <w:szCs w:val="28"/>
        </w:rPr>
        <w:fldChar w:fldCharType="begin"/>
      </w:r>
      <w:r w:rsidR="008B7BBB" w:rsidRPr="00662BA1">
        <w:rPr>
          <w:szCs w:val="28"/>
        </w:rPr>
        <w:instrText xml:space="preserve"> AUTONUMOUT  </w:instrText>
      </w:r>
      <w:r w:rsidRPr="00662BA1">
        <w:rPr>
          <w:szCs w:val="28"/>
        </w:rPr>
        <w:fldChar w:fldCharType="end"/>
      </w:r>
      <w:r w:rsidR="008B7BBB" w:rsidRPr="00662BA1">
        <w:rPr>
          <w:szCs w:val="28"/>
        </w:rPr>
        <w:tab/>
      </w:r>
      <w:r w:rsidR="00176C73" w:rsidRPr="00662BA1">
        <w:rPr>
          <w:szCs w:val="28"/>
        </w:rPr>
        <w:t>By grounds 9 and 10, it was submitted that the judge erred in finding that the 10 cash cheques drawn on the account of SJM deposited into the Wing Lung Bank ac</w:t>
      </w:r>
      <w:r w:rsidR="00246B63" w:rsidRPr="00662BA1">
        <w:rPr>
          <w:szCs w:val="28"/>
        </w:rPr>
        <w:t>counts of the applicant (Charge 1) were not the applicant’</w:t>
      </w:r>
      <w:r w:rsidR="00176C73" w:rsidRPr="00662BA1">
        <w:rPr>
          <w:szCs w:val="28"/>
        </w:rPr>
        <w:t>s gambling winnings.</w:t>
      </w:r>
      <w:r w:rsidR="00176C73" w:rsidRPr="00662BA1">
        <w:rPr>
          <w:rStyle w:val="FootnoteReference"/>
          <w:szCs w:val="28"/>
        </w:rPr>
        <w:footnoteReference w:id="19"/>
      </w:r>
      <w:r w:rsidR="00176C73" w:rsidRPr="00662BA1">
        <w:rPr>
          <w:szCs w:val="28"/>
        </w:rPr>
        <w:t xml:space="preserve"> </w:t>
      </w:r>
      <w:r w:rsidR="00246B63" w:rsidRPr="00662BA1">
        <w:rPr>
          <w:szCs w:val="28"/>
        </w:rPr>
        <w:t xml:space="preserve"> </w:t>
      </w:r>
      <w:r w:rsidR="00176C73" w:rsidRPr="00662BA1">
        <w:rPr>
          <w:szCs w:val="28"/>
        </w:rPr>
        <w:t xml:space="preserve">That finding was not consistent with his </w:t>
      </w:r>
      <w:r w:rsidR="00246B63" w:rsidRPr="00662BA1">
        <w:rPr>
          <w:szCs w:val="28"/>
        </w:rPr>
        <w:t>finding that the applicant was “</w:t>
      </w:r>
      <w:r w:rsidR="00176C73" w:rsidRPr="00662BA1">
        <w:rPr>
          <w:szCs w:val="28"/>
        </w:rPr>
        <w:t>an avid gambler on baccarat</w:t>
      </w:r>
      <w:r w:rsidR="00246B63" w:rsidRPr="00662BA1">
        <w:rPr>
          <w:szCs w:val="28"/>
        </w:rPr>
        <w:t>”</w:t>
      </w:r>
      <w:r w:rsidR="00176C73" w:rsidRPr="00662BA1">
        <w:rPr>
          <w:szCs w:val="28"/>
        </w:rPr>
        <w:t xml:space="preserve"> in the Macau casinos, notwithstanding that he had gone on to say that he was unable to say</w:t>
      </w:r>
      <w:r w:rsidR="00246B63" w:rsidRPr="00662BA1">
        <w:rPr>
          <w:szCs w:val="28"/>
        </w:rPr>
        <w:t xml:space="preserve"> “</w:t>
      </w:r>
      <w:r w:rsidR="00176C73" w:rsidRPr="00662BA1">
        <w:rPr>
          <w:szCs w:val="28"/>
        </w:rPr>
        <w:t xml:space="preserve">whether he was always winning or as to </w:t>
      </w:r>
      <w:r w:rsidR="00246B63" w:rsidRPr="00662BA1">
        <w:rPr>
          <w:szCs w:val="28"/>
        </w:rPr>
        <w:t>how much his winnings amount to”</w:t>
      </w:r>
      <w:r w:rsidR="00176C73" w:rsidRPr="00662BA1">
        <w:rPr>
          <w:szCs w:val="28"/>
        </w:rPr>
        <w:t>.</w:t>
      </w:r>
      <w:r w:rsidR="00176C73" w:rsidRPr="00662BA1">
        <w:rPr>
          <w:rStyle w:val="FootnoteReference"/>
          <w:szCs w:val="28"/>
        </w:rPr>
        <w:footnoteReference w:id="20"/>
      </w:r>
      <w:r w:rsidR="00176C73" w:rsidRPr="00662BA1">
        <w:rPr>
          <w:szCs w:val="28"/>
        </w:rPr>
        <w:t xml:space="preserve"> </w:t>
      </w:r>
      <w:r w:rsidR="00246B63" w:rsidRPr="00662BA1">
        <w:rPr>
          <w:szCs w:val="28"/>
        </w:rPr>
        <w:t xml:space="preserve"> </w:t>
      </w:r>
      <w:r w:rsidR="00176C73" w:rsidRPr="00662BA1">
        <w:rPr>
          <w:szCs w:val="28"/>
        </w:rPr>
        <w:t>Furthermore, since the judge</w:t>
      </w:r>
      <w:r w:rsidR="00246B63" w:rsidRPr="00662BA1">
        <w:rPr>
          <w:szCs w:val="28"/>
        </w:rPr>
        <w:t xml:space="preserve"> said that he did not know the “</w:t>
      </w:r>
      <w:r w:rsidR="00176C73" w:rsidRPr="00662BA1">
        <w:rPr>
          <w:szCs w:val="28"/>
        </w:rPr>
        <w:t>real reason for those deposits</w:t>
      </w:r>
      <w:r w:rsidR="00246B63" w:rsidRPr="00662BA1">
        <w:rPr>
          <w:szCs w:val="28"/>
        </w:rPr>
        <w:t>”</w:t>
      </w:r>
      <w:r w:rsidR="007151D3">
        <w:rPr>
          <w:szCs w:val="28"/>
        </w:rPr>
        <w:t> </w:t>
      </w:r>
      <w:r w:rsidR="00176C73" w:rsidRPr="00662BA1">
        <w:rPr>
          <w:rStyle w:val="FootnoteReference"/>
          <w:szCs w:val="28"/>
        </w:rPr>
        <w:footnoteReference w:id="21"/>
      </w:r>
      <w:r w:rsidR="00176C73" w:rsidRPr="00662BA1">
        <w:rPr>
          <w:szCs w:val="28"/>
        </w:rPr>
        <w:t xml:space="preserve"> there was no evidential basis to find that the applicant had reasonable grounds to believe that those monies were the proceeds of an indictable offence. </w:t>
      </w:r>
    </w:p>
    <w:p w:rsidR="00176C73" w:rsidRPr="00662BA1" w:rsidRDefault="00176C73" w:rsidP="00176C73">
      <w:pPr>
        <w:tabs>
          <w:tab w:val="clear" w:pos="4320"/>
          <w:tab w:val="clear" w:pos="9072"/>
        </w:tabs>
        <w:snapToGrid/>
        <w:spacing w:before="360" w:line="360" w:lineRule="auto"/>
        <w:rPr>
          <w:i/>
          <w:szCs w:val="28"/>
        </w:rPr>
      </w:pPr>
      <w:r w:rsidRPr="00662BA1">
        <w:rPr>
          <w:i/>
          <w:szCs w:val="28"/>
        </w:rPr>
        <w:t xml:space="preserve">The bank </w:t>
      </w:r>
      <w:r w:rsidR="006B2153" w:rsidRPr="00662BA1">
        <w:rPr>
          <w:i/>
          <w:szCs w:val="28"/>
        </w:rPr>
        <w:t>accounts of the applicant’</w:t>
      </w:r>
      <w:r w:rsidRPr="00662BA1">
        <w:rPr>
          <w:i/>
          <w:szCs w:val="28"/>
        </w:rPr>
        <w:t>s father</w:t>
      </w:r>
    </w:p>
    <w:p w:rsidR="00176C73" w:rsidRPr="00662BA1" w:rsidRDefault="00052537" w:rsidP="003B6D02">
      <w:pPr>
        <w:tabs>
          <w:tab w:val="clear" w:pos="4320"/>
          <w:tab w:val="clear" w:pos="9072"/>
        </w:tabs>
        <w:snapToGrid/>
        <w:spacing w:before="360" w:line="360" w:lineRule="auto"/>
        <w:jc w:val="both"/>
        <w:rPr>
          <w:szCs w:val="28"/>
        </w:rPr>
      </w:pPr>
      <w:r w:rsidRPr="00662BA1">
        <w:rPr>
          <w:szCs w:val="28"/>
        </w:rPr>
        <w:fldChar w:fldCharType="begin"/>
      </w:r>
      <w:r w:rsidR="00246B63" w:rsidRPr="00662BA1">
        <w:rPr>
          <w:szCs w:val="28"/>
        </w:rPr>
        <w:instrText xml:space="preserve"> AUTONUMOUT  </w:instrText>
      </w:r>
      <w:r w:rsidRPr="00662BA1">
        <w:rPr>
          <w:szCs w:val="28"/>
        </w:rPr>
        <w:fldChar w:fldCharType="end"/>
      </w:r>
      <w:r w:rsidR="00246B63" w:rsidRPr="00662BA1">
        <w:rPr>
          <w:szCs w:val="28"/>
        </w:rPr>
        <w:tab/>
      </w:r>
      <w:r w:rsidR="00176C73" w:rsidRPr="00662BA1">
        <w:rPr>
          <w:szCs w:val="28"/>
        </w:rPr>
        <w:t xml:space="preserve">By ground 11, it was submitted in effect that the judge had erred in determining that the applicant had dealt with monies in accounts D and E. </w:t>
      </w:r>
      <w:r w:rsidR="00EA6DF6" w:rsidRPr="00662BA1">
        <w:rPr>
          <w:szCs w:val="28"/>
        </w:rPr>
        <w:tab/>
      </w:r>
      <w:r w:rsidR="00176C73" w:rsidRPr="00662BA1">
        <w:rPr>
          <w:szCs w:val="28"/>
        </w:rPr>
        <w:t>In reaching that conclusion he had regard to part only of the evidence relevant</w:t>
      </w:r>
      <w:r w:rsidR="00EA6DF6" w:rsidRPr="00662BA1">
        <w:rPr>
          <w:szCs w:val="28"/>
        </w:rPr>
        <w:t xml:space="preserve"> to the wealth of the applicant’</w:t>
      </w:r>
      <w:r w:rsidR="00176C73" w:rsidRPr="00662BA1">
        <w:rPr>
          <w:szCs w:val="28"/>
        </w:rPr>
        <w:t>s father, namely that he operated a vegetable stall a</w:t>
      </w:r>
      <w:r w:rsidR="007151D3">
        <w:rPr>
          <w:szCs w:val="28"/>
        </w:rPr>
        <w:t xml:space="preserve">t very modest levels of profit.  </w:t>
      </w:r>
      <w:r w:rsidR="00176C73" w:rsidRPr="00662BA1">
        <w:rPr>
          <w:szCs w:val="28"/>
        </w:rPr>
        <w:t xml:space="preserve">He erred in allowing that evidence to play an unduly significant part in </w:t>
      </w:r>
      <w:r w:rsidR="00EA6DF6" w:rsidRPr="00662BA1">
        <w:rPr>
          <w:szCs w:val="28"/>
        </w:rPr>
        <w:t>his assessment of the applicant’s father’</w:t>
      </w:r>
      <w:r w:rsidR="00176C73" w:rsidRPr="00662BA1">
        <w:rPr>
          <w:szCs w:val="28"/>
        </w:rPr>
        <w:t>s ba</w:t>
      </w:r>
      <w:r w:rsidR="00EA6DF6" w:rsidRPr="00662BA1">
        <w:rPr>
          <w:szCs w:val="28"/>
        </w:rPr>
        <w:t xml:space="preserve">ckground, abilities and wealth.  </w:t>
      </w:r>
      <w:r w:rsidR="00176C73" w:rsidRPr="00662BA1">
        <w:rPr>
          <w:szCs w:val="28"/>
        </w:rPr>
        <w:t xml:space="preserve">The judge failed to have regard to </w:t>
      </w:r>
      <w:r w:rsidR="00EA6DF6" w:rsidRPr="00662BA1">
        <w:rPr>
          <w:szCs w:val="28"/>
        </w:rPr>
        <w:t>the unchallenged evidence of Mr </w:t>
      </w:r>
      <w:r w:rsidR="00176C73" w:rsidRPr="00662BA1">
        <w:rPr>
          <w:szCs w:val="28"/>
        </w:rPr>
        <w:t>Yang Wu Jun (DW</w:t>
      </w:r>
      <w:r w:rsidR="00EA6DF6" w:rsidRPr="00662BA1">
        <w:rPr>
          <w:szCs w:val="28"/>
        </w:rPr>
        <w:t> </w:t>
      </w:r>
      <w:r w:rsidR="00176C73" w:rsidRPr="00662BA1">
        <w:rPr>
          <w:szCs w:val="28"/>
        </w:rPr>
        <w:t xml:space="preserve">6), the general manager of a hotel in </w:t>
      </w:r>
      <w:proofErr w:type="spellStart"/>
      <w:r w:rsidR="00176C73" w:rsidRPr="00662BA1">
        <w:rPr>
          <w:szCs w:val="28"/>
        </w:rPr>
        <w:t>Dongguan</w:t>
      </w:r>
      <w:proofErr w:type="spellEnd"/>
      <w:r w:rsidR="00176C73" w:rsidRPr="00662BA1">
        <w:rPr>
          <w:szCs w:val="28"/>
        </w:rPr>
        <w:t xml:space="preserve"> in the period 19</w:t>
      </w:r>
      <w:r w:rsidR="00EA6DF6" w:rsidRPr="00662BA1">
        <w:rPr>
          <w:szCs w:val="28"/>
        </w:rPr>
        <w:t>91-1994, of which the applicant’</w:t>
      </w:r>
      <w:r w:rsidR="00176C73" w:rsidRPr="00662BA1">
        <w:rPr>
          <w:szCs w:val="28"/>
        </w:rPr>
        <w:t>s father together with the applicant had been the bosses.</w:t>
      </w:r>
      <w:r w:rsidR="00176C73" w:rsidRPr="00662BA1">
        <w:rPr>
          <w:rStyle w:val="FootnoteReference"/>
          <w:szCs w:val="28"/>
        </w:rPr>
        <w:footnoteReference w:id="22"/>
      </w:r>
      <w:r w:rsidR="00176C73" w:rsidRPr="00662BA1">
        <w:rPr>
          <w:szCs w:val="28"/>
        </w:rPr>
        <w:t xml:space="preserve"> </w:t>
      </w:r>
      <w:r w:rsidR="00EA6DF6" w:rsidRPr="00662BA1">
        <w:rPr>
          <w:szCs w:val="28"/>
        </w:rPr>
        <w:t xml:space="preserve"> </w:t>
      </w:r>
      <w:r w:rsidR="00176C73" w:rsidRPr="00662BA1">
        <w:rPr>
          <w:szCs w:val="28"/>
        </w:rPr>
        <w:t>Further, the judge had made no finding that the applicant’s father was not the owner of the monies generated by the substantial trading activity in the securities accounts he</w:t>
      </w:r>
      <w:r w:rsidR="00EA6DF6" w:rsidRPr="00662BA1">
        <w:rPr>
          <w:szCs w:val="28"/>
        </w:rPr>
        <w:t>ld in the name of the applicant’</w:t>
      </w:r>
      <w:r w:rsidR="00176C73" w:rsidRPr="00662BA1">
        <w:rPr>
          <w:szCs w:val="28"/>
        </w:rPr>
        <w:t>s father.</w:t>
      </w:r>
    </w:p>
    <w:p w:rsidR="00176C73" w:rsidRPr="00662BA1" w:rsidRDefault="00176C73" w:rsidP="003B6D02">
      <w:pPr>
        <w:tabs>
          <w:tab w:val="clear" w:pos="4320"/>
          <w:tab w:val="clear" w:pos="9072"/>
        </w:tabs>
        <w:snapToGrid/>
        <w:spacing w:before="360" w:line="360" w:lineRule="auto"/>
        <w:jc w:val="both"/>
        <w:rPr>
          <w:i/>
          <w:szCs w:val="28"/>
        </w:rPr>
      </w:pPr>
      <w:r w:rsidRPr="00662BA1">
        <w:rPr>
          <w:i/>
          <w:szCs w:val="28"/>
        </w:rPr>
        <w:t>Proof of the predicate offence</w:t>
      </w:r>
    </w:p>
    <w:p w:rsidR="00C35916" w:rsidRDefault="00052537" w:rsidP="003B6D02">
      <w:pPr>
        <w:tabs>
          <w:tab w:val="clear" w:pos="4320"/>
          <w:tab w:val="clear" w:pos="9072"/>
        </w:tabs>
        <w:snapToGrid/>
        <w:spacing w:before="360" w:line="360" w:lineRule="auto"/>
        <w:jc w:val="both"/>
        <w:rPr>
          <w:szCs w:val="28"/>
        </w:rPr>
      </w:pPr>
      <w:r w:rsidRPr="00662BA1">
        <w:rPr>
          <w:szCs w:val="28"/>
        </w:rPr>
        <w:fldChar w:fldCharType="begin"/>
      </w:r>
      <w:r w:rsidR="00EA6DF6" w:rsidRPr="00662BA1">
        <w:rPr>
          <w:szCs w:val="28"/>
        </w:rPr>
        <w:instrText xml:space="preserve"> AUTONUMOUT  </w:instrText>
      </w:r>
      <w:r w:rsidRPr="00662BA1">
        <w:rPr>
          <w:szCs w:val="28"/>
        </w:rPr>
        <w:fldChar w:fldCharType="end"/>
      </w:r>
      <w:r w:rsidR="00EA6DF6" w:rsidRPr="00662BA1">
        <w:rPr>
          <w:szCs w:val="28"/>
        </w:rPr>
        <w:tab/>
      </w:r>
      <w:r w:rsidR="00176C73" w:rsidRPr="00662BA1">
        <w:rPr>
          <w:szCs w:val="28"/>
        </w:rPr>
        <w:t xml:space="preserve">Finally, by ground 12 it was submitted that it was necessary for the prosecution to prove the predicate offence. </w:t>
      </w:r>
      <w:r w:rsidR="003B6D02" w:rsidRPr="00662BA1">
        <w:rPr>
          <w:szCs w:val="28"/>
        </w:rPr>
        <w:t xml:space="preserve"> </w:t>
      </w:r>
      <w:r w:rsidR="00176C73" w:rsidRPr="00662BA1">
        <w:rPr>
          <w:szCs w:val="28"/>
        </w:rPr>
        <w:t xml:space="preserve">The prosecution had not done so. </w:t>
      </w:r>
      <w:r w:rsidR="003B6D02" w:rsidRPr="00662BA1">
        <w:rPr>
          <w:szCs w:val="28"/>
        </w:rPr>
        <w:t xml:space="preserve"> </w:t>
      </w:r>
      <w:r w:rsidR="00176C73" w:rsidRPr="00662BA1">
        <w:rPr>
          <w:szCs w:val="28"/>
        </w:rPr>
        <w:t xml:space="preserve">It was acknowledged that was not a matter that could be canvassed in this Court, because this Court was bound by the judgments of the Court of Final Appeal in </w:t>
      </w:r>
      <w:proofErr w:type="spellStart"/>
      <w:r w:rsidR="00176C73" w:rsidRPr="00662BA1">
        <w:rPr>
          <w:i/>
          <w:szCs w:val="28"/>
        </w:rPr>
        <w:t>Oei</w:t>
      </w:r>
      <w:proofErr w:type="spellEnd"/>
      <w:r w:rsidR="00176C73" w:rsidRPr="00662BA1">
        <w:rPr>
          <w:i/>
          <w:szCs w:val="28"/>
        </w:rPr>
        <w:t xml:space="preserve"> </w:t>
      </w:r>
      <w:proofErr w:type="spellStart"/>
      <w:r w:rsidR="00176C73" w:rsidRPr="00662BA1">
        <w:rPr>
          <w:i/>
          <w:szCs w:val="28"/>
        </w:rPr>
        <w:t>Hengy</w:t>
      </w:r>
      <w:proofErr w:type="spellEnd"/>
      <w:r w:rsidR="00176C73" w:rsidRPr="00662BA1">
        <w:rPr>
          <w:i/>
          <w:szCs w:val="28"/>
        </w:rPr>
        <w:t xml:space="preserve"> </w:t>
      </w:r>
      <w:proofErr w:type="spellStart"/>
      <w:r w:rsidR="00176C73" w:rsidRPr="00662BA1">
        <w:rPr>
          <w:i/>
          <w:szCs w:val="28"/>
        </w:rPr>
        <w:t>Wiryo</w:t>
      </w:r>
      <w:proofErr w:type="spellEnd"/>
      <w:r w:rsidR="00176C73" w:rsidRPr="00662BA1">
        <w:rPr>
          <w:i/>
          <w:szCs w:val="28"/>
        </w:rPr>
        <w:t xml:space="preserve"> v HKSAR</w:t>
      </w:r>
      <w:r w:rsidR="003B6D02" w:rsidRPr="00662BA1">
        <w:rPr>
          <w:szCs w:val="28"/>
        </w:rPr>
        <w:t> </w:t>
      </w:r>
      <w:r w:rsidR="00176C73" w:rsidRPr="00662BA1">
        <w:rPr>
          <w:rStyle w:val="FootnoteReference"/>
          <w:szCs w:val="28"/>
        </w:rPr>
        <w:footnoteReference w:id="23"/>
      </w:r>
      <w:r w:rsidR="00176C73" w:rsidRPr="00662BA1">
        <w:rPr>
          <w:szCs w:val="28"/>
        </w:rPr>
        <w:t xml:space="preserve"> to the contrary. </w:t>
      </w:r>
      <w:r w:rsidR="003B6D02" w:rsidRPr="00662BA1">
        <w:rPr>
          <w:szCs w:val="28"/>
        </w:rPr>
        <w:t xml:space="preserve"> </w:t>
      </w:r>
      <w:r w:rsidR="00176C73" w:rsidRPr="00662BA1">
        <w:rPr>
          <w:szCs w:val="28"/>
        </w:rPr>
        <w:t xml:space="preserve">However, it was contended that, having regard to the recent judgments of the Court of Final appeal in </w:t>
      </w:r>
      <w:r w:rsidR="00176C73" w:rsidRPr="00662BA1">
        <w:rPr>
          <w:i/>
          <w:szCs w:val="28"/>
        </w:rPr>
        <w:t>Li Kwok Cheung, George v HKSAR</w:t>
      </w:r>
      <w:r w:rsidR="003B6D02" w:rsidRPr="00662BA1">
        <w:rPr>
          <w:szCs w:val="28"/>
        </w:rPr>
        <w:t> </w:t>
      </w:r>
      <w:r w:rsidR="00176C73" w:rsidRPr="00662BA1">
        <w:rPr>
          <w:rStyle w:val="FootnoteReference"/>
          <w:szCs w:val="28"/>
        </w:rPr>
        <w:footnoteReference w:id="24"/>
      </w:r>
      <w:r w:rsidR="00176C73" w:rsidRPr="00662BA1">
        <w:rPr>
          <w:i/>
          <w:szCs w:val="28"/>
        </w:rPr>
        <w:t xml:space="preserve"> </w:t>
      </w:r>
      <w:r w:rsidR="00176C73" w:rsidRPr="00662BA1">
        <w:rPr>
          <w:szCs w:val="28"/>
        </w:rPr>
        <w:t>and in</w:t>
      </w:r>
      <w:r w:rsidR="00176C73" w:rsidRPr="00662BA1">
        <w:rPr>
          <w:i/>
          <w:szCs w:val="28"/>
        </w:rPr>
        <w:t xml:space="preserve"> Pang Hung Fai v </w:t>
      </w:r>
      <w:proofErr w:type="gramStart"/>
      <w:r w:rsidR="00176C73" w:rsidRPr="00662BA1">
        <w:rPr>
          <w:i/>
          <w:szCs w:val="28"/>
        </w:rPr>
        <w:t>HKSAR</w:t>
      </w:r>
      <w:r w:rsidR="003B6D02" w:rsidRPr="00662BA1">
        <w:rPr>
          <w:szCs w:val="28"/>
        </w:rPr>
        <w:t> </w:t>
      </w:r>
      <w:proofErr w:type="gramEnd"/>
      <w:r w:rsidR="00176C73" w:rsidRPr="00662BA1">
        <w:rPr>
          <w:rStyle w:val="FootnoteReference"/>
          <w:szCs w:val="28"/>
        </w:rPr>
        <w:footnoteReference w:id="25"/>
      </w:r>
      <w:r w:rsidR="00176C73" w:rsidRPr="00662BA1">
        <w:rPr>
          <w:szCs w:val="28"/>
        </w:rPr>
        <w:t>, the point was wrongly decided.</w:t>
      </w:r>
    </w:p>
    <w:p w:rsidR="00C35916" w:rsidRDefault="00C35916">
      <w:pPr>
        <w:tabs>
          <w:tab w:val="clear" w:pos="1440"/>
          <w:tab w:val="clear" w:pos="4320"/>
          <w:tab w:val="clear" w:pos="9072"/>
        </w:tabs>
        <w:snapToGrid/>
        <w:rPr>
          <w:szCs w:val="28"/>
        </w:rPr>
      </w:pPr>
      <w:r>
        <w:rPr>
          <w:szCs w:val="28"/>
        </w:rPr>
        <w:br w:type="page"/>
      </w:r>
    </w:p>
    <w:p w:rsidR="00176C73" w:rsidRPr="00662BA1" w:rsidRDefault="00176C73" w:rsidP="003B6D02">
      <w:pPr>
        <w:tabs>
          <w:tab w:val="clear" w:pos="4320"/>
          <w:tab w:val="clear" w:pos="9072"/>
        </w:tabs>
        <w:snapToGrid/>
        <w:spacing w:before="360" w:line="360" w:lineRule="auto"/>
        <w:jc w:val="both"/>
        <w:rPr>
          <w:i/>
          <w:szCs w:val="28"/>
        </w:rPr>
      </w:pPr>
      <w:r w:rsidRPr="00662BA1">
        <w:rPr>
          <w:i/>
          <w:szCs w:val="28"/>
        </w:rPr>
        <w:t>The respondent’s submissions</w:t>
      </w:r>
    </w:p>
    <w:p w:rsidR="00176C73" w:rsidRPr="00662BA1" w:rsidRDefault="00176C73" w:rsidP="00D40C8D">
      <w:pPr>
        <w:tabs>
          <w:tab w:val="clear" w:pos="4320"/>
          <w:tab w:val="clear" w:pos="9072"/>
        </w:tabs>
        <w:snapToGrid/>
        <w:spacing w:before="120" w:line="360" w:lineRule="auto"/>
        <w:jc w:val="both"/>
        <w:rPr>
          <w:i/>
          <w:szCs w:val="28"/>
        </w:rPr>
      </w:pPr>
      <w:r w:rsidRPr="00662BA1">
        <w:rPr>
          <w:i/>
          <w:szCs w:val="28"/>
        </w:rPr>
        <w:t>Duplicity</w:t>
      </w:r>
    </w:p>
    <w:p w:rsidR="00176C73" w:rsidRPr="00662BA1" w:rsidRDefault="00052537" w:rsidP="003B6D02">
      <w:pPr>
        <w:tabs>
          <w:tab w:val="clear" w:pos="4320"/>
          <w:tab w:val="clear" w:pos="9072"/>
        </w:tabs>
        <w:snapToGrid/>
        <w:spacing w:before="360" w:line="360" w:lineRule="auto"/>
        <w:jc w:val="both"/>
        <w:rPr>
          <w:szCs w:val="28"/>
        </w:rPr>
      </w:pPr>
      <w:r w:rsidRPr="00662BA1">
        <w:rPr>
          <w:szCs w:val="28"/>
        </w:rPr>
        <w:fldChar w:fldCharType="begin"/>
      </w:r>
      <w:r w:rsidR="003B6D02" w:rsidRPr="00662BA1">
        <w:rPr>
          <w:szCs w:val="28"/>
        </w:rPr>
        <w:instrText xml:space="preserve"> AUTONUMOUT  </w:instrText>
      </w:r>
      <w:r w:rsidRPr="00662BA1">
        <w:rPr>
          <w:szCs w:val="28"/>
        </w:rPr>
        <w:fldChar w:fldCharType="end"/>
      </w:r>
      <w:r w:rsidR="003B6D02" w:rsidRPr="00662BA1">
        <w:rPr>
          <w:szCs w:val="28"/>
        </w:rPr>
        <w:tab/>
      </w:r>
      <w:r w:rsidR="00176C73" w:rsidRPr="00662BA1">
        <w:rPr>
          <w:szCs w:val="28"/>
        </w:rPr>
        <w:t xml:space="preserve">For the respondent, Mr </w:t>
      </w:r>
      <w:proofErr w:type="spellStart"/>
      <w:r w:rsidR="00176C73" w:rsidRPr="00662BA1">
        <w:rPr>
          <w:szCs w:val="28"/>
        </w:rPr>
        <w:t>Caplan</w:t>
      </w:r>
      <w:proofErr w:type="spellEnd"/>
      <w:r w:rsidR="00176C73" w:rsidRPr="00662BA1">
        <w:rPr>
          <w:szCs w:val="28"/>
        </w:rPr>
        <w:t xml:space="preserve"> </w:t>
      </w:r>
      <w:proofErr w:type="gramStart"/>
      <w:r w:rsidR="00176C73" w:rsidRPr="00662BA1">
        <w:rPr>
          <w:szCs w:val="28"/>
        </w:rPr>
        <w:t>Q</w:t>
      </w:r>
      <w:r w:rsidR="00083BCE" w:rsidRPr="00662BA1">
        <w:rPr>
          <w:szCs w:val="28"/>
        </w:rPr>
        <w:t>C,</w:t>
      </w:r>
      <w:proofErr w:type="gramEnd"/>
      <w:r w:rsidR="00083BCE" w:rsidRPr="00662BA1">
        <w:rPr>
          <w:szCs w:val="28"/>
        </w:rPr>
        <w:t xml:space="preserve"> submitted that Charges </w:t>
      </w:r>
      <w:r w:rsidR="00176C73" w:rsidRPr="00662BA1">
        <w:rPr>
          <w:szCs w:val="28"/>
        </w:rPr>
        <w:t xml:space="preserve">1-5 were not duplicitous. </w:t>
      </w:r>
      <w:r w:rsidR="00083BCE" w:rsidRPr="00662BA1">
        <w:rPr>
          <w:szCs w:val="28"/>
        </w:rPr>
        <w:t xml:space="preserve"> </w:t>
      </w:r>
      <w:r w:rsidR="00176C73" w:rsidRPr="00662BA1">
        <w:rPr>
          <w:szCs w:val="28"/>
        </w:rPr>
        <w:t>No application had been made at trial that the charges were duplicitous.</w:t>
      </w:r>
      <w:r w:rsidR="00083BCE" w:rsidRPr="00662BA1">
        <w:rPr>
          <w:szCs w:val="28"/>
        </w:rPr>
        <w:t xml:space="preserve"> </w:t>
      </w:r>
      <w:r w:rsidR="00176C73" w:rsidRPr="00662BA1">
        <w:rPr>
          <w:szCs w:val="28"/>
        </w:rPr>
        <w:t xml:space="preserve"> Each of the five charges reflected conduct which was to be regarded properly as having a common purpose so that it was part of the same criminal enterprise, namely money-laundering.</w:t>
      </w:r>
      <w:r w:rsidR="00176C73" w:rsidRPr="00662BA1">
        <w:rPr>
          <w:rStyle w:val="FootnoteReference"/>
          <w:szCs w:val="28"/>
        </w:rPr>
        <w:footnoteReference w:id="26"/>
      </w:r>
      <w:r w:rsidR="00176C73" w:rsidRPr="00662BA1">
        <w:rPr>
          <w:szCs w:val="28"/>
        </w:rPr>
        <w:t xml:space="preserve"> </w:t>
      </w:r>
    </w:p>
    <w:p w:rsidR="00176C73" w:rsidRPr="00662BA1" w:rsidRDefault="00052537" w:rsidP="00083BCE">
      <w:pPr>
        <w:tabs>
          <w:tab w:val="clear" w:pos="4320"/>
          <w:tab w:val="clear" w:pos="9072"/>
        </w:tabs>
        <w:snapToGrid/>
        <w:spacing w:before="360" w:line="360" w:lineRule="auto"/>
        <w:jc w:val="both"/>
        <w:rPr>
          <w:szCs w:val="28"/>
        </w:rPr>
      </w:pPr>
      <w:r w:rsidRPr="00662BA1">
        <w:rPr>
          <w:szCs w:val="28"/>
        </w:rPr>
        <w:fldChar w:fldCharType="begin"/>
      </w:r>
      <w:r w:rsidR="00083BCE" w:rsidRPr="00662BA1">
        <w:rPr>
          <w:szCs w:val="28"/>
        </w:rPr>
        <w:instrText xml:space="preserve"> AUTONUMOUT  </w:instrText>
      </w:r>
      <w:r w:rsidRPr="00662BA1">
        <w:rPr>
          <w:szCs w:val="28"/>
        </w:rPr>
        <w:fldChar w:fldCharType="end"/>
      </w:r>
      <w:r w:rsidR="00083BCE" w:rsidRPr="00662BA1">
        <w:rPr>
          <w:szCs w:val="28"/>
        </w:rPr>
        <w:tab/>
      </w:r>
      <w:r w:rsidR="00176C73" w:rsidRPr="00662BA1">
        <w:rPr>
          <w:szCs w:val="28"/>
        </w:rPr>
        <w:t xml:space="preserve">He pointed out that </w:t>
      </w:r>
      <w:r w:rsidR="000D6E59" w:rsidRPr="00662BA1">
        <w:rPr>
          <w:szCs w:val="28"/>
        </w:rPr>
        <w:t xml:space="preserve">in England and Wales, </w:t>
      </w:r>
      <w:r w:rsidR="00807C79" w:rsidRPr="00662BA1">
        <w:rPr>
          <w:szCs w:val="28"/>
        </w:rPr>
        <w:t>r</w:t>
      </w:r>
      <w:r w:rsidR="000D6E59" w:rsidRPr="00662BA1">
        <w:rPr>
          <w:szCs w:val="28"/>
        </w:rPr>
        <w:t>ule 14.2</w:t>
      </w:r>
      <w:r w:rsidR="00176C73" w:rsidRPr="00662BA1">
        <w:rPr>
          <w:szCs w:val="28"/>
        </w:rPr>
        <w:t xml:space="preserve">(2) of the Criminal Procedure Rules permits multiple incidents of offending to be included in a single charge in certain circumstances. </w:t>
      </w:r>
      <w:r w:rsidR="000D6E59" w:rsidRPr="00662BA1">
        <w:rPr>
          <w:szCs w:val="28"/>
        </w:rPr>
        <w:t xml:space="preserve"> </w:t>
      </w:r>
      <w:r w:rsidR="00176C73" w:rsidRPr="00662BA1">
        <w:rPr>
          <w:szCs w:val="28"/>
        </w:rPr>
        <w:t xml:space="preserve">He acknowledged, however, that a single charge may not be appropriate where what is in issue differs between the individual incidents. </w:t>
      </w:r>
      <w:r w:rsidR="000D6E59" w:rsidRPr="00662BA1">
        <w:rPr>
          <w:szCs w:val="28"/>
        </w:rPr>
        <w:t xml:space="preserve"> </w:t>
      </w:r>
      <w:r w:rsidR="00176C73" w:rsidRPr="00662BA1">
        <w:rPr>
          <w:szCs w:val="28"/>
        </w:rPr>
        <w:t xml:space="preserve">The </w:t>
      </w:r>
      <w:r w:rsidR="00176C73" w:rsidRPr="00662BA1">
        <w:rPr>
          <w:i/>
          <w:szCs w:val="28"/>
        </w:rPr>
        <w:t>Practice Direction (Criminal Proceedings: Further Directions)</w:t>
      </w:r>
      <w:r w:rsidR="00176C73" w:rsidRPr="00662BA1">
        <w:rPr>
          <w:rStyle w:val="FootnoteReference"/>
          <w:szCs w:val="28"/>
        </w:rPr>
        <w:footnoteReference w:id="27"/>
      </w:r>
      <w:r w:rsidR="00176C73" w:rsidRPr="00662BA1">
        <w:rPr>
          <w:szCs w:val="28"/>
        </w:rPr>
        <w:t xml:space="preserve"> provided that, in the appropriate circumstances, such an approach is justified in various offences, including money-laundering.  He invited the court to note that reference was made to the Practice Direction in the judgment of the Court of Appeal of England and Wales in </w:t>
      </w:r>
      <w:r w:rsidR="00176C73" w:rsidRPr="00662BA1">
        <w:rPr>
          <w:i/>
          <w:szCs w:val="28"/>
        </w:rPr>
        <w:t>R v Middleton</w:t>
      </w:r>
      <w:r w:rsidR="00176C73" w:rsidRPr="00662BA1">
        <w:rPr>
          <w:szCs w:val="28"/>
        </w:rPr>
        <w:t>.</w:t>
      </w:r>
      <w:r w:rsidR="00176C73" w:rsidRPr="00662BA1">
        <w:rPr>
          <w:rStyle w:val="FootnoteReference"/>
          <w:szCs w:val="28"/>
        </w:rPr>
        <w:footnoteReference w:id="28"/>
      </w:r>
      <w:r w:rsidR="00176C73" w:rsidRPr="00662BA1">
        <w:rPr>
          <w:szCs w:val="28"/>
        </w:rPr>
        <w:t xml:space="preserve"> </w:t>
      </w:r>
    </w:p>
    <w:p w:rsidR="00176C73" w:rsidRPr="00662BA1" w:rsidRDefault="00052537" w:rsidP="000D6E59">
      <w:pPr>
        <w:tabs>
          <w:tab w:val="clear" w:pos="4320"/>
          <w:tab w:val="clear" w:pos="9072"/>
        </w:tabs>
        <w:snapToGrid/>
        <w:spacing w:before="360" w:line="360" w:lineRule="auto"/>
        <w:jc w:val="both"/>
        <w:rPr>
          <w:szCs w:val="28"/>
        </w:rPr>
      </w:pPr>
      <w:r w:rsidRPr="00662BA1">
        <w:rPr>
          <w:szCs w:val="28"/>
        </w:rPr>
        <w:fldChar w:fldCharType="begin"/>
      </w:r>
      <w:r w:rsidR="000D6E59" w:rsidRPr="00662BA1">
        <w:rPr>
          <w:szCs w:val="28"/>
        </w:rPr>
        <w:instrText xml:space="preserve"> AUTONUMOUT  </w:instrText>
      </w:r>
      <w:r w:rsidRPr="00662BA1">
        <w:rPr>
          <w:szCs w:val="28"/>
        </w:rPr>
        <w:fldChar w:fldCharType="end"/>
      </w:r>
      <w:r w:rsidR="000D6E59" w:rsidRPr="00662BA1">
        <w:rPr>
          <w:szCs w:val="28"/>
        </w:rPr>
        <w:tab/>
      </w:r>
      <w:r w:rsidR="00176C73" w:rsidRPr="00662BA1">
        <w:rPr>
          <w:szCs w:val="28"/>
        </w:rPr>
        <w:t xml:space="preserve">Mr </w:t>
      </w:r>
      <w:proofErr w:type="spellStart"/>
      <w:r w:rsidR="00176C73" w:rsidRPr="00662BA1">
        <w:rPr>
          <w:szCs w:val="28"/>
        </w:rPr>
        <w:t>Caplan</w:t>
      </w:r>
      <w:proofErr w:type="spellEnd"/>
      <w:r w:rsidR="00176C73" w:rsidRPr="00662BA1">
        <w:rPr>
          <w:szCs w:val="28"/>
        </w:rPr>
        <w:t xml:space="preserve"> said that the prosecution case was made clear by the Particulars of Offence of each of the charges, together with the written prosecution Opening and the expert reports served on t</w:t>
      </w:r>
      <w:r w:rsidR="00091A11">
        <w:rPr>
          <w:szCs w:val="28"/>
        </w:rPr>
        <w:t xml:space="preserve">he defence in advance of trial.  </w:t>
      </w:r>
      <w:r w:rsidR="00176C73" w:rsidRPr="00662BA1">
        <w:rPr>
          <w:szCs w:val="28"/>
        </w:rPr>
        <w:t>The applicant dealt with the monies deposited in the respective accounts as the principal offender as</w:t>
      </w:r>
      <w:r w:rsidR="00091A11">
        <w:rPr>
          <w:szCs w:val="28"/>
        </w:rPr>
        <w:t xml:space="preserve"> part of a continuing activity.  </w:t>
      </w:r>
      <w:r w:rsidR="00176C73" w:rsidRPr="00662BA1">
        <w:rPr>
          <w:szCs w:val="28"/>
        </w:rPr>
        <w:t>There were no identifiable victims.</w:t>
      </w:r>
      <w:r w:rsidR="00E27AC8" w:rsidRPr="00662BA1">
        <w:rPr>
          <w:szCs w:val="28"/>
        </w:rPr>
        <w:t xml:space="preserve">  </w:t>
      </w:r>
      <w:r w:rsidR="00176C73" w:rsidRPr="00662BA1">
        <w:rPr>
          <w:szCs w:val="28"/>
        </w:rPr>
        <w:t xml:space="preserve">The defence case, </w:t>
      </w:r>
      <w:r w:rsidR="00E27AC8" w:rsidRPr="00662BA1">
        <w:rPr>
          <w:szCs w:val="28"/>
        </w:rPr>
        <w:t>certainly in respect of Charges </w:t>
      </w:r>
      <w:r w:rsidR="00176C73" w:rsidRPr="00662BA1">
        <w:rPr>
          <w:szCs w:val="28"/>
        </w:rPr>
        <w:t xml:space="preserve">1-3, was that there was a legitimate provenance of the monies deposited into those bank accounts. </w:t>
      </w:r>
      <w:r w:rsidR="00E27AC8" w:rsidRPr="00662BA1">
        <w:rPr>
          <w:szCs w:val="28"/>
        </w:rPr>
        <w:t xml:space="preserve"> </w:t>
      </w:r>
      <w:r w:rsidR="00176C73" w:rsidRPr="00662BA1">
        <w:rPr>
          <w:szCs w:val="28"/>
        </w:rPr>
        <w:t>The applicant, sometimes</w:t>
      </w:r>
      <w:r w:rsidR="00E27AC8" w:rsidRPr="00662BA1">
        <w:rPr>
          <w:szCs w:val="28"/>
        </w:rPr>
        <w:t xml:space="preserve"> supported by a defence </w:t>
      </w:r>
      <w:proofErr w:type="gramStart"/>
      <w:r w:rsidR="00E27AC8" w:rsidRPr="00662BA1">
        <w:rPr>
          <w:szCs w:val="28"/>
        </w:rPr>
        <w:t>witness</w:t>
      </w:r>
      <w:r w:rsidR="00176C73" w:rsidRPr="00662BA1">
        <w:rPr>
          <w:szCs w:val="28"/>
        </w:rPr>
        <w:t>(</w:t>
      </w:r>
      <w:proofErr w:type="spellStart"/>
      <w:proofErr w:type="gramEnd"/>
      <w:r w:rsidR="00176C73" w:rsidRPr="00662BA1">
        <w:rPr>
          <w:szCs w:val="28"/>
        </w:rPr>
        <w:t>es</w:t>
      </w:r>
      <w:proofErr w:type="spellEnd"/>
      <w:r w:rsidR="00176C73" w:rsidRPr="00662BA1">
        <w:rPr>
          <w:szCs w:val="28"/>
        </w:rPr>
        <w:t>), advanced different explanations for different deposits or groups of deposits.</w:t>
      </w:r>
      <w:r w:rsidR="00E27AC8" w:rsidRPr="00662BA1">
        <w:rPr>
          <w:szCs w:val="28"/>
        </w:rPr>
        <w:t xml:space="preserve">  Mr </w:t>
      </w:r>
      <w:proofErr w:type="spellStart"/>
      <w:r w:rsidR="00176C73" w:rsidRPr="00662BA1">
        <w:rPr>
          <w:szCs w:val="28"/>
        </w:rPr>
        <w:t>Caplan</w:t>
      </w:r>
      <w:proofErr w:type="spellEnd"/>
      <w:r w:rsidR="00176C73" w:rsidRPr="00662BA1">
        <w:rPr>
          <w:szCs w:val="28"/>
        </w:rPr>
        <w:t xml:space="preserve"> submitted that even if the charges had been presented in multiple separate counts, the defence advanced by the applicant would have been the same. </w:t>
      </w:r>
      <w:r w:rsidR="00E27AC8" w:rsidRPr="00662BA1">
        <w:rPr>
          <w:szCs w:val="28"/>
        </w:rPr>
        <w:t xml:space="preserve"> </w:t>
      </w:r>
      <w:r w:rsidR="00176C73" w:rsidRPr="00662BA1">
        <w:rPr>
          <w:szCs w:val="28"/>
        </w:rPr>
        <w:t>There was no unfairness to the applicant so that the trial itself was unfair.</w:t>
      </w:r>
    </w:p>
    <w:p w:rsidR="00176C73" w:rsidRPr="00662BA1" w:rsidRDefault="00176C73" w:rsidP="003B6D02">
      <w:pPr>
        <w:tabs>
          <w:tab w:val="clear" w:pos="4320"/>
          <w:tab w:val="clear" w:pos="9072"/>
        </w:tabs>
        <w:snapToGrid/>
        <w:spacing w:before="360" w:line="360" w:lineRule="auto"/>
        <w:jc w:val="both"/>
        <w:rPr>
          <w:i/>
          <w:szCs w:val="28"/>
        </w:rPr>
      </w:pPr>
      <w:r w:rsidRPr="00662BA1">
        <w:rPr>
          <w:i/>
          <w:szCs w:val="28"/>
        </w:rPr>
        <w:t>Reasonable grounds to believe</w:t>
      </w:r>
    </w:p>
    <w:p w:rsidR="00176C73" w:rsidRPr="00662BA1" w:rsidRDefault="00052537" w:rsidP="00E27AC8">
      <w:pPr>
        <w:tabs>
          <w:tab w:val="clear" w:pos="4320"/>
          <w:tab w:val="clear" w:pos="9072"/>
        </w:tabs>
        <w:snapToGrid/>
        <w:spacing w:before="360" w:line="360" w:lineRule="auto"/>
        <w:jc w:val="both"/>
        <w:rPr>
          <w:szCs w:val="28"/>
        </w:rPr>
      </w:pPr>
      <w:r w:rsidRPr="00662BA1">
        <w:rPr>
          <w:szCs w:val="28"/>
        </w:rPr>
        <w:fldChar w:fldCharType="begin"/>
      </w:r>
      <w:r w:rsidR="00E27AC8" w:rsidRPr="00662BA1">
        <w:rPr>
          <w:szCs w:val="28"/>
        </w:rPr>
        <w:instrText xml:space="preserve"> AUTONUMOUT  </w:instrText>
      </w:r>
      <w:r w:rsidRPr="00662BA1">
        <w:rPr>
          <w:szCs w:val="28"/>
        </w:rPr>
        <w:fldChar w:fldCharType="end"/>
      </w:r>
      <w:r w:rsidR="00E27AC8" w:rsidRPr="00662BA1">
        <w:rPr>
          <w:szCs w:val="28"/>
        </w:rPr>
        <w:tab/>
      </w:r>
      <w:r w:rsidR="00176C73" w:rsidRPr="00662BA1">
        <w:rPr>
          <w:szCs w:val="28"/>
        </w:rPr>
        <w:t xml:space="preserve">Mr </w:t>
      </w:r>
      <w:proofErr w:type="spellStart"/>
      <w:r w:rsidR="00176C73" w:rsidRPr="00662BA1">
        <w:rPr>
          <w:szCs w:val="28"/>
        </w:rPr>
        <w:t>Caplan</w:t>
      </w:r>
      <w:proofErr w:type="spellEnd"/>
      <w:r w:rsidR="00176C73" w:rsidRPr="00662BA1">
        <w:rPr>
          <w:szCs w:val="28"/>
        </w:rPr>
        <w:t xml:space="preserve"> accepted that the judge had adopted the two-stage test articulated by this Court in </w:t>
      </w:r>
      <w:r w:rsidR="00176C73" w:rsidRPr="00662BA1">
        <w:rPr>
          <w:i/>
          <w:szCs w:val="28"/>
        </w:rPr>
        <w:t>HKSAR v Pang Hung Fai</w:t>
      </w:r>
      <w:r w:rsidR="00176C73" w:rsidRPr="00662BA1">
        <w:rPr>
          <w:szCs w:val="28"/>
        </w:rPr>
        <w:t>,</w:t>
      </w:r>
      <w:r w:rsidR="00F47596" w:rsidRPr="00662BA1">
        <w:rPr>
          <w:szCs w:val="28"/>
        </w:rPr>
        <w:t xml:space="preserve"> </w:t>
      </w:r>
      <w:r w:rsidR="00176C73" w:rsidRPr="00662BA1">
        <w:rPr>
          <w:szCs w:val="28"/>
        </w:rPr>
        <w:t>which the Court of Final Appeal had said distracts the decision maker.</w:t>
      </w:r>
      <w:r w:rsidR="00F47596" w:rsidRPr="00662BA1">
        <w:rPr>
          <w:szCs w:val="28"/>
        </w:rPr>
        <w:t xml:space="preserve"> </w:t>
      </w:r>
      <w:r w:rsidR="00176C73" w:rsidRPr="00662BA1">
        <w:rPr>
          <w:szCs w:val="28"/>
        </w:rPr>
        <w:t xml:space="preserve"> However, he submitted that the judge’s analysis of the evidence and his findings demonstrated that he did consider the matters required of him, namely the matters set out in the formul</w:t>
      </w:r>
      <w:r w:rsidR="00F47596" w:rsidRPr="00662BA1">
        <w:rPr>
          <w:szCs w:val="28"/>
        </w:rPr>
        <w:t>ation in the judgment of Litton </w:t>
      </w:r>
      <w:r w:rsidR="00176C73" w:rsidRPr="00662BA1">
        <w:rPr>
          <w:szCs w:val="28"/>
        </w:rPr>
        <w:t xml:space="preserve">PJ in </w:t>
      </w:r>
      <w:proofErr w:type="spellStart"/>
      <w:r w:rsidR="00176C73" w:rsidRPr="00662BA1">
        <w:rPr>
          <w:i/>
          <w:szCs w:val="28"/>
        </w:rPr>
        <w:t>Seng</w:t>
      </w:r>
      <w:proofErr w:type="spellEnd"/>
      <w:r w:rsidR="00176C73" w:rsidRPr="00662BA1">
        <w:rPr>
          <w:i/>
          <w:szCs w:val="28"/>
        </w:rPr>
        <w:t xml:space="preserve"> </w:t>
      </w:r>
      <w:proofErr w:type="spellStart"/>
      <w:r w:rsidR="00176C73" w:rsidRPr="00662BA1">
        <w:rPr>
          <w:i/>
          <w:szCs w:val="28"/>
        </w:rPr>
        <w:t>Yuet</w:t>
      </w:r>
      <w:proofErr w:type="spellEnd"/>
      <w:r w:rsidR="00176C73" w:rsidRPr="00662BA1">
        <w:rPr>
          <w:i/>
          <w:szCs w:val="28"/>
        </w:rPr>
        <w:t xml:space="preserve"> Fong v HKSAR</w:t>
      </w:r>
      <w:r w:rsidR="00176C73" w:rsidRPr="00662BA1">
        <w:rPr>
          <w:szCs w:val="28"/>
        </w:rPr>
        <w:t xml:space="preserve">, approved by the Court of Final Appeal in </w:t>
      </w:r>
      <w:r w:rsidR="00176C73" w:rsidRPr="00662BA1">
        <w:rPr>
          <w:i/>
          <w:szCs w:val="28"/>
        </w:rPr>
        <w:t>Pang Hung Fai,</w:t>
      </w:r>
      <w:r w:rsidR="00176C73" w:rsidRPr="00662BA1">
        <w:rPr>
          <w:szCs w:val="28"/>
        </w:rPr>
        <w:t xml:space="preserve"> that</w:t>
      </w:r>
      <w:r w:rsidR="00176C73" w:rsidRPr="00662BA1">
        <w:rPr>
          <w:i/>
          <w:szCs w:val="28"/>
        </w:rPr>
        <w:t xml:space="preserve"> </w:t>
      </w:r>
      <w:r w:rsidR="00F47596" w:rsidRPr="00662BA1">
        <w:rPr>
          <w:szCs w:val="28"/>
        </w:rPr>
        <w:t>“</w:t>
      </w:r>
      <w:r w:rsidR="00176C73" w:rsidRPr="00662BA1">
        <w:rPr>
          <w:szCs w:val="28"/>
        </w:rPr>
        <w:t xml:space="preserve">the accused had grounds for believing; and there was the additional requirement that grounds must be reasonable. </w:t>
      </w:r>
      <w:r w:rsidR="00F47596" w:rsidRPr="00662BA1">
        <w:rPr>
          <w:szCs w:val="28"/>
        </w:rPr>
        <w:t xml:space="preserve"> </w:t>
      </w:r>
      <w:r w:rsidR="00176C73" w:rsidRPr="00662BA1">
        <w:rPr>
          <w:szCs w:val="28"/>
        </w:rPr>
        <w:t>That is, that anyone looking at those ground</w:t>
      </w:r>
      <w:r w:rsidR="00F47596" w:rsidRPr="00662BA1">
        <w:rPr>
          <w:szCs w:val="28"/>
        </w:rPr>
        <w:t xml:space="preserve">s objectively would so believe.” </w:t>
      </w:r>
      <w:r w:rsidR="00176C73" w:rsidRPr="00662BA1">
        <w:rPr>
          <w:szCs w:val="28"/>
        </w:rPr>
        <w:t xml:space="preserve"> In particular, the judge had regard to:</w:t>
      </w:r>
      <w:r w:rsidR="00176C73" w:rsidRPr="00662BA1">
        <w:rPr>
          <w:i/>
          <w:szCs w:val="28"/>
        </w:rPr>
        <w:t xml:space="preserve"> </w:t>
      </w:r>
      <w:r w:rsidR="00F47596" w:rsidRPr="00662BA1">
        <w:rPr>
          <w:szCs w:val="28"/>
        </w:rPr>
        <w:t>(</w:t>
      </w:r>
      <w:proofErr w:type="spellStart"/>
      <w:r w:rsidR="00F47596" w:rsidRPr="00662BA1">
        <w:rPr>
          <w:szCs w:val="28"/>
        </w:rPr>
        <w:t>i</w:t>
      </w:r>
      <w:proofErr w:type="spellEnd"/>
      <w:r w:rsidR="00F47596" w:rsidRPr="00662BA1">
        <w:rPr>
          <w:szCs w:val="28"/>
        </w:rPr>
        <w:t>) </w:t>
      </w:r>
      <w:r w:rsidR="00176C73" w:rsidRPr="00662BA1">
        <w:rPr>
          <w:szCs w:val="28"/>
        </w:rPr>
        <w:t>what w</w:t>
      </w:r>
      <w:r w:rsidR="00F47596" w:rsidRPr="00662BA1">
        <w:rPr>
          <w:szCs w:val="28"/>
        </w:rPr>
        <w:t>as known to the applicant; (ii) </w:t>
      </w:r>
      <w:r w:rsidR="00176C73" w:rsidRPr="00662BA1">
        <w:rPr>
          <w:szCs w:val="28"/>
        </w:rPr>
        <w:t>whether a right-thinking member of the community would consider the transaction in all the circumstances amounted to reasonable grounds to believe that the monies were the proceeds of a</w:t>
      </w:r>
      <w:r w:rsidR="00F47596" w:rsidRPr="00662BA1">
        <w:rPr>
          <w:szCs w:val="28"/>
        </w:rPr>
        <w:t>n indictable offence; and (iii) </w:t>
      </w:r>
      <w:r w:rsidR="00176C73" w:rsidRPr="00662BA1">
        <w:rPr>
          <w:szCs w:val="28"/>
        </w:rPr>
        <w:t xml:space="preserve">whether the applicant himself had reasonable grounds to so believe. </w:t>
      </w:r>
      <w:r w:rsidR="00F47596" w:rsidRPr="00662BA1">
        <w:rPr>
          <w:szCs w:val="28"/>
        </w:rPr>
        <w:t xml:space="preserve"> </w:t>
      </w:r>
      <w:r w:rsidR="00176C73" w:rsidRPr="00662BA1">
        <w:rPr>
          <w:szCs w:val="28"/>
        </w:rPr>
        <w:t>Further, the</w:t>
      </w:r>
      <w:r w:rsidR="00F47596" w:rsidRPr="00662BA1">
        <w:rPr>
          <w:szCs w:val="28"/>
        </w:rPr>
        <w:t xml:space="preserve"> judge considered the applicant’</w:t>
      </w:r>
      <w:r w:rsidR="00176C73" w:rsidRPr="00662BA1">
        <w:rPr>
          <w:szCs w:val="28"/>
        </w:rPr>
        <w:t xml:space="preserve">s testimony, making multiple findings that he </w:t>
      </w:r>
      <w:proofErr w:type="gramStart"/>
      <w:r w:rsidR="00176C73" w:rsidRPr="00662BA1">
        <w:rPr>
          <w:szCs w:val="28"/>
        </w:rPr>
        <w:t>lied</w:t>
      </w:r>
      <w:proofErr w:type="gramEnd"/>
      <w:r w:rsidR="00176C73" w:rsidRPr="00662BA1">
        <w:rPr>
          <w:szCs w:val="28"/>
        </w:rPr>
        <w:t xml:space="preserve"> in evidence.</w:t>
      </w:r>
      <w:r w:rsidR="00F47596" w:rsidRPr="00662BA1">
        <w:rPr>
          <w:szCs w:val="28"/>
        </w:rPr>
        <w:t xml:space="preserve"> </w:t>
      </w:r>
      <w:r w:rsidR="00176C73" w:rsidRPr="00662BA1">
        <w:rPr>
          <w:szCs w:val="28"/>
        </w:rPr>
        <w:t xml:space="preserve"> Also, the ju</w:t>
      </w:r>
      <w:r w:rsidR="00F47596" w:rsidRPr="00662BA1">
        <w:rPr>
          <w:szCs w:val="28"/>
        </w:rPr>
        <w:t>dge had regard to the applicant’</w:t>
      </w:r>
      <w:r w:rsidR="00176C73" w:rsidRPr="00662BA1">
        <w:rPr>
          <w:szCs w:val="28"/>
        </w:rPr>
        <w:t>s asserted belief or perceptions and its reasonableness in regard to a particular transaction.</w:t>
      </w:r>
    </w:p>
    <w:p w:rsidR="00176C73" w:rsidRPr="00662BA1" w:rsidRDefault="00052537" w:rsidP="00F47596">
      <w:pPr>
        <w:tabs>
          <w:tab w:val="clear" w:pos="4320"/>
          <w:tab w:val="clear" w:pos="9072"/>
        </w:tabs>
        <w:snapToGrid/>
        <w:spacing w:before="360" w:line="360" w:lineRule="auto"/>
        <w:jc w:val="both"/>
        <w:rPr>
          <w:szCs w:val="28"/>
        </w:rPr>
      </w:pPr>
      <w:r w:rsidRPr="00662BA1">
        <w:rPr>
          <w:szCs w:val="28"/>
        </w:rPr>
        <w:fldChar w:fldCharType="begin"/>
      </w:r>
      <w:r w:rsidR="00F47596" w:rsidRPr="00662BA1">
        <w:rPr>
          <w:szCs w:val="28"/>
        </w:rPr>
        <w:instrText xml:space="preserve"> AUTONUMOUT  </w:instrText>
      </w:r>
      <w:r w:rsidRPr="00662BA1">
        <w:rPr>
          <w:szCs w:val="28"/>
        </w:rPr>
        <w:fldChar w:fldCharType="end"/>
      </w:r>
      <w:r w:rsidR="00F47596" w:rsidRPr="00662BA1">
        <w:rPr>
          <w:szCs w:val="28"/>
        </w:rPr>
        <w:tab/>
      </w:r>
      <w:r w:rsidR="00176C73" w:rsidRPr="00662BA1">
        <w:rPr>
          <w:szCs w:val="28"/>
        </w:rPr>
        <w:t xml:space="preserve">It was submitted that the judge did not make an error in failing to determine the true nature of the dealing in any particular transaction. </w:t>
      </w:r>
      <w:r w:rsidR="002C7890" w:rsidRPr="00662BA1">
        <w:rPr>
          <w:szCs w:val="28"/>
        </w:rPr>
        <w:t xml:space="preserve"> </w:t>
      </w:r>
      <w:r w:rsidR="00176C73" w:rsidRPr="00662BA1">
        <w:rPr>
          <w:szCs w:val="28"/>
        </w:rPr>
        <w:t>There was no requirement for the court to determine that the monies were the proceeds of an indictable offence, only that there were reasonable grounds to so believe.</w:t>
      </w:r>
    </w:p>
    <w:p w:rsidR="00176C73" w:rsidRPr="00662BA1" w:rsidRDefault="00176C73" w:rsidP="003B6D02">
      <w:pPr>
        <w:tabs>
          <w:tab w:val="clear" w:pos="4320"/>
          <w:tab w:val="clear" w:pos="9072"/>
        </w:tabs>
        <w:snapToGrid/>
        <w:spacing w:before="360" w:line="360" w:lineRule="auto"/>
        <w:jc w:val="both"/>
        <w:rPr>
          <w:i/>
          <w:szCs w:val="28"/>
        </w:rPr>
      </w:pPr>
      <w:r w:rsidRPr="00662BA1">
        <w:rPr>
          <w:i/>
          <w:szCs w:val="28"/>
        </w:rPr>
        <w:t>The repository point</w:t>
      </w:r>
    </w:p>
    <w:p w:rsidR="003630F8" w:rsidRDefault="00052537" w:rsidP="00C35916">
      <w:pPr>
        <w:tabs>
          <w:tab w:val="clear" w:pos="4320"/>
          <w:tab w:val="clear" w:pos="9072"/>
        </w:tabs>
        <w:snapToGrid/>
        <w:spacing w:before="360" w:line="360" w:lineRule="auto"/>
        <w:jc w:val="both"/>
        <w:rPr>
          <w:i/>
          <w:szCs w:val="28"/>
        </w:rPr>
      </w:pPr>
      <w:r w:rsidRPr="00662BA1">
        <w:rPr>
          <w:szCs w:val="28"/>
        </w:rPr>
        <w:fldChar w:fldCharType="begin"/>
      </w:r>
      <w:r w:rsidR="002C7890" w:rsidRPr="00662BA1">
        <w:rPr>
          <w:szCs w:val="28"/>
        </w:rPr>
        <w:instrText xml:space="preserve"> AUTONUMOUT  </w:instrText>
      </w:r>
      <w:r w:rsidRPr="00662BA1">
        <w:rPr>
          <w:szCs w:val="28"/>
        </w:rPr>
        <w:fldChar w:fldCharType="end"/>
      </w:r>
      <w:r w:rsidR="002C7890" w:rsidRPr="00662BA1">
        <w:rPr>
          <w:szCs w:val="28"/>
        </w:rPr>
        <w:tab/>
      </w:r>
      <w:r w:rsidR="00176C73" w:rsidRPr="00662BA1">
        <w:rPr>
          <w:szCs w:val="28"/>
        </w:rPr>
        <w:t xml:space="preserve">Mr </w:t>
      </w:r>
      <w:proofErr w:type="spellStart"/>
      <w:r w:rsidR="00176C73" w:rsidRPr="00662BA1">
        <w:rPr>
          <w:szCs w:val="28"/>
        </w:rPr>
        <w:t>Caplan</w:t>
      </w:r>
      <w:proofErr w:type="spellEnd"/>
      <w:r w:rsidR="00176C73" w:rsidRPr="00662BA1">
        <w:rPr>
          <w:szCs w:val="28"/>
        </w:rPr>
        <w:t xml:space="preserve"> submitted that the judge made his general finding about the similarity of the opening and closing balances of the various bank accounts as part of multiple specific findings in respect of the individual charges. </w:t>
      </w:r>
      <w:r w:rsidR="002C7890" w:rsidRPr="00662BA1">
        <w:rPr>
          <w:szCs w:val="28"/>
        </w:rPr>
        <w:t xml:space="preserve"> </w:t>
      </w:r>
      <w:r w:rsidR="00176C73" w:rsidRPr="00662BA1">
        <w:rPr>
          <w:szCs w:val="28"/>
        </w:rPr>
        <w:t>When considering whether the applicant had the requisite belief at the time of his dealing with the money the judge was entitled to have regard to his actions before and after those dealings.</w:t>
      </w:r>
    </w:p>
    <w:p w:rsidR="00176C73" w:rsidRPr="00662BA1" w:rsidRDefault="00176C73" w:rsidP="003B6D02">
      <w:pPr>
        <w:tabs>
          <w:tab w:val="clear" w:pos="4320"/>
          <w:tab w:val="clear" w:pos="9072"/>
        </w:tabs>
        <w:snapToGrid/>
        <w:spacing w:before="360" w:line="360" w:lineRule="auto"/>
        <w:jc w:val="both"/>
        <w:rPr>
          <w:szCs w:val="28"/>
        </w:rPr>
      </w:pPr>
      <w:r w:rsidRPr="00662BA1">
        <w:rPr>
          <w:i/>
          <w:szCs w:val="28"/>
        </w:rPr>
        <w:t>Other grounds</w:t>
      </w:r>
    </w:p>
    <w:p w:rsidR="00176C73" w:rsidRPr="00662BA1" w:rsidRDefault="00052537" w:rsidP="002C7890">
      <w:pPr>
        <w:tabs>
          <w:tab w:val="clear" w:pos="4320"/>
          <w:tab w:val="clear" w:pos="9072"/>
        </w:tabs>
        <w:snapToGrid/>
        <w:spacing w:before="360" w:line="360" w:lineRule="auto"/>
        <w:jc w:val="both"/>
        <w:rPr>
          <w:szCs w:val="28"/>
        </w:rPr>
      </w:pPr>
      <w:r w:rsidRPr="00662BA1">
        <w:rPr>
          <w:szCs w:val="28"/>
        </w:rPr>
        <w:fldChar w:fldCharType="begin"/>
      </w:r>
      <w:r w:rsidR="002C7890" w:rsidRPr="00662BA1">
        <w:rPr>
          <w:szCs w:val="28"/>
        </w:rPr>
        <w:instrText xml:space="preserve"> AUTONUMOUT  </w:instrText>
      </w:r>
      <w:r w:rsidRPr="00662BA1">
        <w:rPr>
          <w:szCs w:val="28"/>
        </w:rPr>
        <w:fldChar w:fldCharType="end"/>
      </w:r>
      <w:r w:rsidR="002C7890" w:rsidRPr="00662BA1">
        <w:rPr>
          <w:szCs w:val="28"/>
        </w:rPr>
        <w:tab/>
      </w:r>
      <w:r w:rsidR="00176C73" w:rsidRPr="00662BA1">
        <w:rPr>
          <w:szCs w:val="28"/>
        </w:rPr>
        <w:t xml:space="preserve">The respondent took issue with all the other grounds of appeal against conviction advanced on behalf of the applicant. </w:t>
      </w:r>
      <w:r w:rsidR="002C7890" w:rsidRPr="00662BA1">
        <w:rPr>
          <w:szCs w:val="28"/>
        </w:rPr>
        <w:t xml:space="preserve"> </w:t>
      </w:r>
      <w:r w:rsidR="00176C73" w:rsidRPr="00662BA1">
        <w:rPr>
          <w:szCs w:val="28"/>
        </w:rPr>
        <w:t>In particular, issue was taken with the submissions that, in the various transactions where the judge determined that he was unable to find the real reason for the deposit of monies dealt with by the applicant, the judge was precluded from making a finding that the applicant had reasonable grounds to believe that the monies were the proceeds of an indictable offence.</w:t>
      </w:r>
    </w:p>
    <w:p w:rsidR="00176C73" w:rsidRPr="00662BA1" w:rsidRDefault="00176C73" w:rsidP="003B6D02">
      <w:pPr>
        <w:tabs>
          <w:tab w:val="clear" w:pos="4320"/>
          <w:tab w:val="clear" w:pos="9072"/>
        </w:tabs>
        <w:snapToGrid/>
        <w:spacing w:before="360" w:line="360" w:lineRule="auto"/>
        <w:jc w:val="both"/>
        <w:rPr>
          <w:i/>
          <w:szCs w:val="28"/>
        </w:rPr>
      </w:pPr>
      <w:r w:rsidRPr="00662BA1">
        <w:rPr>
          <w:i/>
          <w:szCs w:val="28"/>
        </w:rPr>
        <w:t>A consideration of the submissions</w:t>
      </w:r>
    </w:p>
    <w:p w:rsidR="00176C73" w:rsidRPr="00662BA1" w:rsidRDefault="00176C73" w:rsidP="00D40C8D">
      <w:pPr>
        <w:tabs>
          <w:tab w:val="clear" w:pos="4320"/>
          <w:tab w:val="clear" w:pos="9072"/>
        </w:tabs>
        <w:snapToGrid/>
        <w:spacing w:before="120" w:line="360" w:lineRule="auto"/>
        <w:jc w:val="both"/>
        <w:rPr>
          <w:i/>
          <w:szCs w:val="28"/>
        </w:rPr>
      </w:pPr>
      <w:r w:rsidRPr="00662BA1">
        <w:rPr>
          <w:i/>
          <w:szCs w:val="28"/>
        </w:rPr>
        <w:t>Duplicity</w:t>
      </w:r>
    </w:p>
    <w:p w:rsidR="00176C73" w:rsidRPr="00662BA1" w:rsidRDefault="00052537" w:rsidP="002C7890">
      <w:pPr>
        <w:tabs>
          <w:tab w:val="clear" w:pos="4320"/>
          <w:tab w:val="clear" w:pos="9072"/>
        </w:tabs>
        <w:snapToGrid/>
        <w:spacing w:before="360" w:line="360" w:lineRule="auto"/>
        <w:jc w:val="both"/>
        <w:rPr>
          <w:szCs w:val="28"/>
        </w:rPr>
      </w:pPr>
      <w:r w:rsidRPr="00662BA1">
        <w:rPr>
          <w:szCs w:val="28"/>
        </w:rPr>
        <w:fldChar w:fldCharType="begin"/>
      </w:r>
      <w:r w:rsidR="002C7890" w:rsidRPr="00662BA1">
        <w:rPr>
          <w:szCs w:val="28"/>
        </w:rPr>
        <w:instrText xml:space="preserve"> AUTONUMOUT  </w:instrText>
      </w:r>
      <w:r w:rsidRPr="00662BA1">
        <w:rPr>
          <w:szCs w:val="28"/>
        </w:rPr>
        <w:fldChar w:fldCharType="end"/>
      </w:r>
      <w:r w:rsidR="002C7890" w:rsidRPr="00662BA1">
        <w:rPr>
          <w:szCs w:val="28"/>
        </w:rPr>
        <w:tab/>
      </w:r>
      <w:r w:rsidR="00176C73" w:rsidRPr="00662BA1">
        <w:rPr>
          <w:szCs w:val="28"/>
        </w:rPr>
        <w:t>Although the applicant was repr</w:t>
      </w:r>
      <w:r w:rsidR="001E29C0" w:rsidRPr="00662BA1">
        <w:rPr>
          <w:szCs w:val="28"/>
        </w:rPr>
        <w:t>esented by leading counsel, Mr </w:t>
      </w:r>
      <w:r w:rsidR="00176C73" w:rsidRPr="00662BA1">
        <w:rPr>
          <w:szCs w:val="28"/>
        </w:rPr>
        <w:t xml:space="preserve">Harris SC, throughout the 55 days of trial in the District Court, no objection was made to any of the charges on the basis that they were duplicitous. </w:t>
      </w:r>
      <w:r w:rsidR="001E29C0" w:rsidRPr="00662BA1">
        <w:rPr>
          <w:szCs w:val="28"/>
        </w:rPr>
        <w:t xml:space="preserve"> For her part, Ms </w:t>
      </w:r>
      <w:r w:rsidR="00176C73" w:rsidRPr="00662BA1">
        <w:rPr>
          <w:szCs w:val="28"/>
        </w:rPr>
        <w:t>Montgomery submitted that, although no formal application had been made, in effect that was the nat</w:t>
      </w:r>
      <w:r w:rsidR="001E29C0" w:rsidRPr="00662BA1">
        <w:rPr>
          <w:szCs w:val="28"/>
        </w:rPr>
        <w:t>ure of a complaint raised by Mr </w:t>
      </w:r>
      <w:r w:rsidR="00176C73" w:rsidRPr="00662BA1">
        <w:rPr>
          <w:szCs w:val="28"/>
        </w:rPr>
        <w:t>H</w:t>
      </w:r>
      <w:r w:rsidR="001E29C0" w:rsidRPr="00662BA1">
        <w:rPr>
          <w:szCs w:val="28"/>
        </w:rPr>
        <w:t>arris during the evidence of Mr </w:t>
      </w:r>
      <w:r w:rsidR="00176C73" w:rsidRPr="00662BA1">
        <w:rPr>
          <w:szCs w:val="28"/>
        </w:rPr>
        <w:t>Sutton.</w:t>
      </w:r>
      <w:r w:rsidR="00176C73" w:rsidRPr="00662BA1">
        <w:rPr>
          <w:rStyle w:val="FootnoteReference"/>
          <w:szCs w:val="28"/>
        </w:rPr>
        <w:footnoteReference w:id="29"/>
      </w:r>
      <w:r w:rsidR="001E29C0" w:rsidRPr="00662BA1">
        <w:rPr>
          <w:szCs w:val="28"/>
        </w:rPr>
        <w:t xml:space="preserve">  In fact, Mr Harris’</w:t>
      </w:r>
      <w:r w:rsidR="00176C73" w:rsidRPr="00662BA1">
        <w:rPr>
          <w:szCs w:val="28"/>
        </w:rPr>
        <w:t>s request of the judge was:</w:t>
      </w:r>
      <w:r w:rsidR="00176C73" w:rsidRPr="00662BA1">
        <w:rPr>
          <w:rStyle w:val="FootnoteReference"/>
          <w:szCs w:val="28"/>
        </w:rPr>
        <w:footnoteReference w:id="30"/>
      </w:r>
    </w:p>
    <w:p w:rsidR="001E29C0" w:rsidRPr="00662BA1" w:rsidRDefault="001E29C0" w:rsidP="001E29C0">
      <w:pPr>
        <w:pStyle w:val="CM163"/>
        <w:tabs>
          <w:tab w:val="left" w:pos="2074"/>
        </w:tabs>
        <w:autoSpaceDE/>
        <w:autoSpaceDN/>
        <w:adjustRightInd/>
        <w:spacing w:before="240"/>
        <w:ind w:left="1454" w:right="835" w:hanging="187"/>
        <w:jc w:val="both"/>
        <w:rPr>
          <w:rFonts w:ascii="Times New Roman" w:hAnsi="Times New Roman"/>
          <w:color w:val="000000"/>
        </w:rPr>
      </w:pPr>
      <w:r w:rsidRPr="00662BA1">
        <w:rPr>
          <w:rFonts w:ascii="Times New Roman" w:hAnsi="Times New Roman"/>
          <w:color w:val="000000"/>
        </w:rPr>
        <w:t>“</w:t>
      </w:r>
      <w:r w:rsidRPr="00662BA1">
        <w:rPr>
          <w:rFonts w:ascii="Times New Roman" w:hAnsi="Times New Roman"/>
          <w:color w:val="000000"/>
        </w:rPr>
        <w:tab/>
      </w:r>
      <w:r w:rsidR="00176C73" w:rsidRPr="00662BA1">
        <w:rPr>
          <w:rFonts w:ascii="Times New Roman" w:hAnsi="Times New Roman"/>
          <w:color w:val="000000"/>
        </w:rPr>
        <w:t xml:space="preserve">…that the prosecution be directed to </w:t>
      </w:r>
      <w:proofErr w:type="spellStart"/>
      <w:r w:rsidR="00176C73" w:rsidRPr="00662BA1">
        <w:rPr>
          <w:rFonts w:ascii="Times New Roman" w:hAnsi="Times New Roman"/>
          <w:color w:val="000000"/>
        </w:rPr>
        <w:t>particularise</w:t>
      </w:r>
      <w:proofErr w:type="spellEnd"/>
      <w:r w:rsidR="00176C73" w:rsidRPr="00662BA1">
        <w:rPr>
          <w:rFonts w:ascii="Times New Roman" w:hAnsi="Times New Roman"/>
          <w:color w:val="000000"/>
        </w:rPr>
        <w:t xml:space="preserve"> in writing precisely what they say are the badges of money laundering such as to give this defendant</w:t>
      </w:r>
      <w:r w:rsidRPr="00662BA1">
        <w:rPr>
          <w:rFonts w:ascii="Times New Roman" w:hAnsi="Times New Roman"/>
          <w:color w:val="000000"/>
        </w:rPr>
        <w:t xml:space="preserve"> reasonable grounds to belief.”</w:t>
      </w:r>
    </w:p>
    <w:p w:rsidR="001E29C0" w:rsidRPr="00662BA1" w:rsidRDefault="001E29C0" w:rsidP="001E29C0">
      <w:pPr>
        <w:snapToGrid/>
        <w:spacing w:line="80" w:lineRule="exact"/>
        <w:ind w:left="1454" w:right="835" w:hanging="187"/>
        <w:jc w:val="both"/>
      </w:pPr>
    </w:p>
    <w:p w:rsidR="00176C73" w:rsidRPr="00662BA1" w:rsidRDefault="00176C73" w:rsidP="001E29C0">
      <w:pPr>
        <w:snapToGrid/>
        <w:spacing w:line="80" w:lineRule="exact"/>
        <w:ind w:left="1454" w:right="835" w:hanging="187"/>
        <w:jc w:val="both"/>
      </w:pPr>
    </w:p>
    <w:p w:rsidR="00176C73" w:rsidRPr="00662BA1" w:rsidRDefault="00052537" w:rsidP="001E29C0">
      <w:pPr>
        <w:tabs>
          <w:tab w:val="clear" w:pos="4320"/>
        </w:tabs>
        <w:snapToGrid/>
        <w:spacing w:before="360" w:line="360" w:lineRule="auto"/>
        <w:jc w:val="both"/>
      </w:pPr>
      <w:r w:rsidRPr="00662BA1">
        <w:fldChar w:fldCharType="begin"/>
      </w:r>
      <w:r w:rsidR="001E29C0" w:rsidRPr="00662BA1">
        <w:instrText xml:space="preserve"> AUTONUMOUT  </w:instrText>
      </w:r>
      <w:r w:rsidRPr="00662BA1">
        <w:fldChar w:fldCharType="end"/>
      </w:r>
      <w:r w:rsidR="001E29C0" w:rsidRPr="00662BA1">
        <w:tab/>
      </w:r>
      <w:r w:rsidR="00176C73" w:rsidRPr="00662BA1">
        <w:rPr>
          <w:szCs w:val="28"/>
        </w:rPr>
        <w:t>In that context, he compla</w:t>
      </w:r>
      <w:r w:rsidR="00311AA6" w:rsidRPr="00662BA1">
        <w:rPr>
          <w:szCs w:val="28"/>
        </w:rPr>
        <w:t>ined of what he contended were “</w:t>
      </w:r>
      <w:r w:rsidR="00176C73" w:rsidRPr="00662BA1">
        <w:rPr>
          <w:szCs w:val="28"/>
        </w:rPr>
        <w:t>new matters being alleged against us which formed no part of the prosecution opening and formed no part of the expert reports</w:t>
      </w:r>
      <w:r w:rsidR="00311AA6" w:rsidRPr="00662BA1">
        <w:rPr>
          <w:szCs w:val="28"/>
        </w:rPr>
        <w:t>”, identifying them as being “</w:t>
      </w:r>
      <w:r w:rsidR="00176C73" w:rsidRPr="00662BA1">
        <w:rPr>
          <w:szCs w:val="28"/>
        </w:rPr>
        <w:t>the coincidence of the opening of the Hooray account with bank account E</w:t>
      </w:r>
      <w:r w:rsidR="00311AA6" w:rsidRPr="00662BA1">
        <w:rPr>
          <w:szCs w:val="28"/>
        </w:rPr>
        <w:t xml:space="preserve">” </w:t>
      </w:r>
      <w:r w:rsidR="00176C73" w:rsidRPr="00662BA1">
        <w:rPr>
          <w:rStyle w:val="FootnoteReference"/>
          <w:szCs w:val="28"/>
        </w:rPr>
        <w:footnoteReference w:id="31"/>
      </w:r>
      <w:r w:rsidR="00311AA6" w:rsidRPr="00662BA1">
        <w:rPr>
          <w:szCs w:val="28"/>
        </w:rPr>
        <w:t xml:space="preserve"> and the “</w:t>
      </w:r>
      <w:r w:rsidR="00176C73" w:rsidRPr="00662BA1">
        <w:rPr>
          <w:szCs w:val="28"/>
        </w:rPr>
        <w:t xml:space="preserve">circular nature of the </w:t>
      </w:r>
      <w:r w:rsidR="00311AA6" w:rsidRPr="00662BA1">
        <w:rPr>
          <w:szCs w:val="28"/>
        </w:rPr>
        <w:t>payments”</w:t>
      </w:r>
      <w:r w:rsidR="00176C73" w:rsidRPr="00662BA1">
        <w:rPr>
          <w:szCs w:val="28"/>
        </w:rPr>
        <w:t>, which matters, he asserted, were on the</w:t>
      </w:r>
      <w:r w:rsidR="00311AA6" w:rsidRPr="00662BA1">
        <w:rPr>
          <w:szCs w:val="28"/>
        </w:rPr>
        <w:t xml:space="preserve"> prosecution case as developed “</w:t>
      </w:r>
      <w:r w:rsidR="00176C73" w:rsidRPr="00662BA1">
        <w:rPr>
          <w:szCs w:val="28"/>
        </w:rPr>
        <w:t>a badge of money laundering</w:t>
      </w:r>
      <w:r w:rsidR="00311AA6" w:rsidRPr="00662BA1">
        <w:rPr>
          <w:szCs w:val="28"/>
        </w:rPr>
        <w:t>”</w:t>
      </w:r>
      <w:r w:rsidR="00176C73" w:rsidRPr="00662BA1">
        <w:rPr>
          <w:szCs w:val="28"/>
        </w:rPr>
        <w:t>.</w:t>
      </w:r>
      <w:r w:rsidR="00176C73" w:rsidRPr="00662BA1">
        <w:rPr>
          <w:rStyle w:val="FootnoteReference"/>
          <w:szCs w:val="28"/>
        </w:rPr>
        <w:footnoteReference w:id="32"/>
      </w:r>
      <w:r w:rsidR="00176C73" w:rsidRPr="00662BA1">
        <w:rPr>
          <w:szCs w:val="28"/>
        </w:rPr>
        <w:t xml:space="preserve"> </w:t>
      </w:r>
      <w:r w:rsidR="00311AA6" w:rsidRPr="00662BA1">
        <w:rPr>
          <w:szCs w:val="28"/>
        </w:rPr>
        <w:t xml:space="preserve"> In conclusion, Mr </w:t>
      </w:r>
      <w:r w:rsidR="00176C73" w:rsidRPr="00662BA1">
        <w:rPr>
          <w:szCs w:val="28"/>
        </w:rPr>
        <w:t>Harris submitted that:</w:t>
      </w:r>
    </w:p>
    <w:p w:rsidR="00311AA6" w:rsidRPr="00662BA1" w:rsidRDefault="00311AA6" w:rsidP="00311AA6">
      <w:pPr>
        <w:tabs>
          <w:tab w:val="clear" w:pos="4320"/>
          <w:tab w:val="clear" w:pos="9072"/>
        </w:tabs>
        <w:snapToGrid/>
        <w:spacing w:before="240"/>
        <w:ind w:left="1454" w:right="835" w:hanging="187"/>
        <w:jc w:val="both"/>
        <w:rPr>
          <w:sz w:val="24"/>
          <w:szCs w:val="24"/>
        </w:rPr>
      </w:pPr>
      <w:r w:rsidRPr="00662BA1">
        <w:rPr>
          <w:sz w:val="24"/>
          <w:szCs w:val="24"/>
        </w:rPr>
        <w:t>“</w:t>
      </w:r>
      <w:r w:rsidRPr="00662BA1">
        <w:rPr>
          <w:sz w:val="24"/>
          <w:szCs w:val="24"/>
        </w:rPr>
        <w:tab/>
      </w:r>
      <w:r w:rsidR="00176C73" w:rsidRPr="00662BA1">
        <w:rPr>
          <w:sz w:val="24"/>
          <w:szCs w:val="24"/>
        </w:rPr>
        <w:t xml:space="preserve">We are entitled to know in advance what the charge is and upon what evidence the prosecution seem to rely.  And that is of particular importance … in this type of charge where there may be a tactical onus on the defence to explain </w:t>
      </w:r>
      <w:proofErr w:type="gramStart"/>
      <w:r w:rsidR="00176C73" w:rsidRPr="00662BA1">
        <w:rPr>
          <w:sz w:val="24"/>
          <w:szCs w:val="24"/>
        </w:rPr>
        <w:t>… .</w:t>
      </w:r>
      <w:proofErr w:type="gramEnd"/>
      <w:r w:rsidR="00176C73" w:rsidRPr="00662BA1">
        <w:rPr>
          <w:sz w:val="24"/>
          <w:szCs w:val="24"/>
        </w:rPr>
        <w:t xml:space="preserve">  [Prosecuting counsel] must know at the moment what facts he anticipates he will rely on in his assertion that there were reasonable grounds to believe and we ask, please, to be told what they are.”</w:t>
      </w:r>
      <w:r w:rsidRPr="00662BA1">
        <w:rPr>
          <w:sz w:val="24"/>
          <w:szCs w:val="24"/>
        </w:rPr>
        <w:t> </w:t>
      </w:r>
      <w:r w:rsidR="00176C73" w:rsidRPr="00662BA1">
        <w:rPr>
          <w:rStyle w:val="FootnoteReference"/>
          <w:sz w:val="24"/>
          <w:szCs w:val="24"/>
        </w:rPr>
        <w:footnoteReference w:id="33"/>
      </w:r>
    </w:p>
    <w:p w:rsidR="00311AA6" w:rsidRPr="00662BA1" w:rsidRDefault="00311AA6" w:rsidP="00311AA6">
      <w:pPr>
        <w:tabs>
          <w:tab w:val="clear" w:pos="4320"/>
          <w:tab w:val="clear" w:pos="9072"/>
        </w:tabs>
        <w:snapToGrid/>
        <w:spacing w:line="80" w:lineRule="exact"/>
        <w:ind w:left="1454" w:right="835" w:hanging="187"/>
        <w:jc w:val="both"/>
        <w:rPr>
          <w:sz w:val="24"/>
          <w:szCs w:val="24"/>
        </w:rPr>
      </w:pPr>
    </w:p>
    <w:p w:rsidR="00176C73" w:rsidRPr="00662BA1" w:rsidRDefault="00176C73" w:rsidP="00311AA6">
      <w:pPr>
        <w:tabs>
          <w:tab w:val="clear" w:pos="4320"/>
          <w:tab w:val="clear" w:pos="9072"/>
        </w:tabs>
        <w:snapToGrid/>
        <w:spacing w:line="80" w:lineRule="exact"/>
        <w:ind w:left="1454" w:right="835" w:hanging="187"/>
        <w:jc w:val="both"/>
        <w:rPr>
          <w:sz w:val="24"/>
          <w:szCs w:val="24"/>
        </w:rPr>
      </w:pPr>
    </w:p>
    <w:p w:rsidR="003765B1" w:rsidRPr="00662BA1" w:rsidRDefault="00052537" w:rsidP="00311AA6">
      <w:pPr>
        <w:tabs>
          <w:tab w:val="clear" w:pos="4320"/>
          <w:tab w:val="clear" w:pos="9072"/>
        </w:tabs>
        <w:snapToGrid/>
        <w:spacing w:before="360" w:line="360" w:lineRule="auto"/>
        <w:jc w:val="both"/>
        <w:rPr>
          <w:szCs w:val="28"/>
        </w:rPr>
      </w:pPr>
      <w:r w:rsidRPr="00662BA1">
        <w:rPr>
          <w:szCs w:val="24"/>
        </w:rPr>
        <w:fldChar w:fldCharType="begin"/>
      </w:r>
      <w:r w:rsidR="00311AA6" w:rsidRPr="00662BA1">
        <w:rPr>
          <w:szCs w:val="24"/>
        </w:rPr>
        <w:instrText xml:space="preserve"> AUTONUMOUT  </w:instrText>
      </w:r>
      <w:r w:rsidRPr="00662BA1">
        <w:rPr>
          <w:szCs w:val="24"/>
        </w:rPr>
        <w:fldChar w:fldCharType="end"/>
      </w:r>
      <w:r w:rsidR="00311AA6" w:rsidRPr="00662BA1">
        <w:rPr>
          <w:szCs w:val="24"/>
        </w:rPr>
        <w:tab/>
      </w:r>
      <w:r w:rsidR="00176C73" w:rsidRPr="00662BA1">
        <w:rPr>
          <w:szCs w:val="28"/>
        </w:rPr>
        <w:t>The trial judge refused the request for particulars, saying “the prosecution case is particularised in the form of the expert reports and his evidence explaining the reports”.</w:t>
      </w:r>
      <w:r w:rsidR="00176C73" w:rsidRPr="00662BA1">
        <w:rPr>
          <w:rStyle w:val="FootnoteReference"/>
          <w:szCs w:val="28"/>
        </w:rPr>
        <w:footnoteReference w:id="34"/>
      </w:r>
    </w:p>
    <w:p w:rsidR="003630F8" w:rsidRDefault="00052537" w:rsidP="003630F8">
      <w:pPr>
        <w:tabs>
          <w:tab w:val="clear" w:pos="4320"/>
          <w:tab w:val="clear" w:pos="9072"/>
        </w:tabs>
        <w:snapToGrid/>
        <w:spacing w:before="360" w:line="360" w:lineRule="auto"/>
        <w:jc w:val="both"/>
        <w:rPr>
          <w:szCs w:val="28"/>
        </w:rPr>
      </w:pPr>
      <w:r w:rsidRPr="00662BA1">
        <w:rPr>
          <w:szCs w:val="28"/>
        </w:rPr>
        <w:fldChar w:fldCharType="begin"/>
      </w:r>
      <w:r w:rsidR="00311AA6" w:rsidRPr="00662BA1">
        <w:rPr>
          <w:szCs w:val="28"/>
        </w:rPr>
        <w:instrText xml:space="preserve"> AUTONUMOUT  </w:instrText>
      </w:r>
      <w:r w:rsidRPr="00662BA1">
        <w:rPr>
          <w:szCs w:val="28"/>
        </w:rPr>
        <w:fldChar w:fldCharType="end"/>
      </w:r>
      <w:r w:rsidR="00311AA6" w:rsidRPr="00662BA1">
        <w:rPr>
          <w:szCs w:val="28"/>
        </w:rPr>
        <w:tab/>
      </w:r>
      <w:r w:rsidR="00176C73" w:rsidRPr="00662BA1">
        <w:rPr>
          <w:szCs w:val="28"/>
        </w:rPr>
        <w:t xml:space="preserve">Mr </w:t>
      </w:r>
      <w:proofErr w:type="spellStart"/>
      <w:r w:rsidR="00176C73" w:rsidRPr="00662BA1">
        <w:rPr>
          <w:szCs w:val="28"/>
        </w:rPr>
        <w:t>Caplan</w:t>
      </w:r>
      <w:proofErr w:type="spellEnd"/>
      <w:r w:rsidR="00176C73" w:rsidRPr="00662BA1">
        <w:rPr>
          <w:szCs w:val="28"/>
        </w:rPr>
        <w:t xml:space="preserve"> contended that this exchange was absolutely beside the point. </w:t>
      </w:r>
      <w:r w:rsidR="007D599D" w:rsidRPr="00662BA1">
        <w:rPr>
          <w:szCs w:val="28"/>
        </w:rPr>
        <w:t xml:space="preserve"> </w:t>
      </w:r>
      <w:proofErr w:type="gramStart"/>
      <w:r w:rsidR="00176C73" w:rsidRPr="00662BA1">
        <w:rPr>
          <w:szCs w:val="28"/>
        </w:rPr>
        <w:t>And rightly so.</w:t>
      </w:r>
      <w:proofErr w:type="gramEnd"/>
      <w:r w:rsidR="00176C73" w:rsidRPr="00662BA1">
        <w:rPr>
          <w:szCs w:val="28"/>
        </w:rPr>
        <w:t xml:space="preserve"> </w:t>
      </w:r>
      <w:r w:rsidR="007D599D" w:rsidRPr="00662BA1">
        <w:rPr>
          <w:szCs w:val="28"/>
        </w:rPr>
        <w:t xml:space="preserve"> </w:t>
      </w:r>
      <w:r w:rsidR="00176C73" w:rsidRPr="00662BA1">
        <w:rPr>
          <w:szCs w:val="28"/>
        </w:rPr>
        <w:t xml:space="preserve">Read in context, Mr Harris’s request was not about the duplicity of the charges at all. </w:t>
      </w:r>
      <w:r w:rsidR="007D599D" w:rsidRPr="00662BA1">
        <w:rPr>
          <w:szCs w:val="28"/>
        </w:rPr>
        <w:t xml:space="preserve"> </w:t>
      </w:r>
      <w:r w:rsidR="00176C73" w:rsidRPr="00662BA1">
        <w:rPr>
          <w:szCs w:val="28"/>
        </w:rPr>
        <w:t xml:space="preserve">Rather, it was that certain, discrete matters were being raised by the prosecution for the first time mid-trial.  There was no suggestion that the charges were duplicitous.  To the contrary, when counsel for the prosecution said he had been relying only on factual matters arising from his opening and from the expert reports, </w:t>
      </w:r>
      <w:r w:rsidR="007D599D" w:rsidRPr="00662BA1">
        <w:rPr>
          <w:szCs w:val="28"/>
        </w:rPr>
        <w:t>and would continue to do so, Mr </w:t>
      </w:r>
      <w:r w:rsidR="00176C73" w:rsidRPr="00662BA1">
        <w:rPr>
          <w:szCs w:val="28"/>
        </w:rPr>
        <w:t>Harris said:</w:t>
      </w:r>
      <w:r w:rsidR="00176C73" w:rsidRPr="00662BA1">
        <w:rPr>
          <w:rStyle w:val="FootnoteReference"/>
          <w:szCs w:val="28"/>
        </w:rPr>
        <w:footnoteReference w:id="35"/>
      </w:r>
    </w:p>
    <w:p w:rsidR="007D599D" w:rsidRPr="003630F8" w:rsidRDefault="003630F8" w:rsidP="003630F8">
      <w:pPr>
        <w:tabs>
          <w:tab w:val="clear" w:pos="4320"/>
          <w:tab w:val="clear" w:pos="9072"/>
          <w:tab w:val="left" w:pos="2074"/>
        </w:tabs>
        <w:snapToGrid/>
        <w:spacing w:before="240"/>
        <w:ind w:left="1454" w:right="835" w:hanging="187"/>
        <w:jc w:val="both"/>
        <w:rPr>
          <w:sz w:val="24"/>
          <w:szCs w:val="24"/>
        </w:rPr>
      </w:pPr>
      <w:r>
        <w:rPr>
          <w:sz w:val="24"/>
          <w:szCs w:val="24"/>
        </w:rPr>
        <w:t>“</w:t>
      </w:r>
      <w:r>
        <w:rPr>
          <w:sz w:val="24"/>
          <w:szCs w:val="24"/>
        </w:rPr>
        <w:tab/>
      </w:r>
      <w:r w:rsidR="007D599D" w:rsidRPr="003630F8">
        <w:rPr>
          <w:sz w:val="24"/>
          <w:szCs w:val="24"/>
        </w:rPr>
        <w:tab/>
      </w:r>
      <w:r w:rsidR="00176C73" w:rsidRPr="003630F8">
        <w:rPr>
          <w:sz w:val="24"/>
          <w:szCs w:val="24"/>
        </w:rPr>
        <w:t xml:space="preserve">If it’s the case that [prosecution counsel] is content to confine himself to the hallmarks of money laundering contained in his opening, then I’m content and I don’t require anything further in writing.  But as long as it’s understood … that new matters are out of order, subject of course to relevance and legal argument later on, </w:t>
      </w:r>
      <w:r w:rsidR="00176C73" w:rsidRPr="003630F8">
        <w:rPr>
          <w:i/>
          <w:sz w:val="24"/>
          <w:szCs w:val="24"/>
        </w:rPr>
        <w:t>then</w:t>
      </w:r>
      <w:r w:rsidR="00176C73" w:rsidRPr="003630F8">
        <w:rPr>
          <w:sz w:val="24"/>
          <w:szCs w:val="24"/>
        </w:rPr>
        <w:t xml:space="preserve"> </w:t>
      </w:r>
      <w:r w:rsidR="00176C73" w:rsidRPr="003630F8">
        <w:rPr>
          <w:i/>
          <w:sz w:val="24"/>
          <w:szCs w:val="24"/>
        </w:rPr>
        <w:t>I can’t complain that I don’t know what case I face</w:t>
      </w:r>
      <w:r w:rsidR="00176C73" w:rsidRPr="003630F8">
        <w:rPr>
          <w:sz w:val="24"/>
          <w:szCs w:val="24"/>
        </w:rPr>
        <w:t xml:space="preserve">.  So the point in a way falls away.”  (Italics added.) </w:t>
      </w:r>
    </w:p>
    <w:p w:rsidR="007D599D" w:rsidRPr="00662BA1" w:rsidRDefault="007D599D" w:rsidP="007D599D">
      <w:pPr>
        <w:tabs>
          <w:tab w:val="clear" w:pos="4320"/>
          <w:tab w:val="clear" w:pos="9072"/>
          <w:tab w:val="left" w:pos="2074"/>
        </w:tabs>
        <w:snapToGrid/>
        <w:spacing w:line="80" w:lineRule="exact"/>
        <w:ind w:left="1454" w:right="835" w:hanging="187"/>
        <w:jc w:val="both"/>
        <w:rPr>
          <w:sz w:val="24"/>
          <w:szCs w:val="24"/>
        </w:rPr>
      </w:pPr>
    </w:p>
    <w:p w:rsidR="00176C73" w:rsidRPr="00662BA1" w:rsidRDefault="00176C73" w:rsidP="007D599D">
      <w:pPr>
        <w:tabs>
          <w:tab w:val="clear" w:pos="4320"/>
          <w:tab w:val="clear" w:pos="9072"/>
          <w:tab w:val="left" w:pos="2074"/>
        </w:tabs>
        <w:snapToGrid/>
        <w:spacing w:line="80" w:lineRule="exact"/>
        <w:ind w:left="1454" w:right="835" w:hanging="187"/>
        <w:jc w:val="both"/>
        <w:rPr>
          <w:sz w:val="24"/>
          <w:szCs w:val="24"/>
        </w:rPr>
      </w:pPr>
    </w:p>
    <w:p w:rsidR="007D599D" w:rsidRPr="00662BA1" w:rsidRDefault="00052537" w:rsidP="007D599D">
      <w:pPr>
        <w:tabs>
          <w:tab w:val="clear" w:pos="4320"/>
          <w:tab w:val="clear" w:pos="9072"/>
          <w:tab w:val="left" w:pos="2074"/>
        </w:tabs>
        <w:snapToGrid/>
        <w:spacing w:before="360" w:line="360" w:lineRule="auto"/>
        <w:jc w:val="both"/>
        <w:rPr>
          <w:szCs w:val="28"/>
        </w:rPr>
      </w:pPr>
      <w:r w:rsidRPr="00662BA1">
        <w:rPr>
          <w:szCs w:val="24"/>
        </w:rPr>
        <w:fldChar w:fldCharType="begin"/>
      </w:r>
      <w:r w:rsidR="007D599D" w:rsidRPr="00662BA1">
        <w:rPr>
          <w:szCs w:val="24"/>
        </w:rPr>
        <w:instrText xml:space="preserve"> AUTONUMOUT  </w:instrText>
      </w:r>
      <w:r w:rsidRPr="00662BA1">
        <w:rPr>
          <w:szCs w:val="24"/>
        </w:rPr>
        <w:fldChar w:fldCharType="end"/>
      </w:r>
      <w:r w:rsidR="007D599D" w:rsidRPr="00662BA1">
        <w:rPr>
          <w:szCs w:val="24"/>
        </w:rPr>
        <w:tab/>
      </w:r>
      <w:r w:rsidR="00176C73" w:rsidRPr="00662BA1">
        <w:rPr>
          <w:szCs w:val="28"/>
        </w:rPr>
        <w:t>Although no application was made by the defence that the charges were duplicitous or that, thereby, the defence was embarrassed or prejudiced in presenting its case, a number of other applications were made by the defence during the trial on the basis of prejudice to a fair trial.</w:t>
      </w:r>
      <w:r w:rsidR="007D599D" w:rsidRPr="00662BA1">
        <w:rPr>
          <w:szCs w:val="28"/>
        </w:rPr>
        <w:t xml:space="preserve"> </w:t>
      </w:r>
      <w:r w:rsidR="00176C73" w:rsidRPr="00662BA1">
        <w:rPr>
          <w:szCs w:val="28"/>
        </w:rPr>
        <w:t xml:space="preserve"> Applications were made twice, but rejected by the judge, for a stay of proceedings on the basis that a fair trial was not possible, given the absence of documentary records and the failure of the police to investigate the case properly.</w:t>
      </w:r>
      <w:r w:rsidR="00176C73" w:rsidRPr="00662BA1">
        <w:rPr>
          <w:rStyle w:val="FootnoteReference"/>
          <w:szCs w:val="28"/>
        </w:rPr>
        <w:footnoteReference w:id="36"/>
      </w:r>
      <w:r w:rsidR="00176C73" w:rsidRPr="00662BA1">
        <w:rPr>
          <w:szCs w:val="28"/>
        </w:rPr>
        <w:t xml:space="preserve"> </w:t>
      </w:r>
      <w:r w:rsidR="007D599D" w:rsidRPr="00662BA1">
        <w:rPr>
          <w:szCs w:val="28"/>
        </w:rPr>
        <w:t xml:space="preserve"> </w:t>
      </w:r>
      <w:r w:rsidR="00176C73" w:rsidRPr="00662BA1">
        <w:rPr>
          <w:szCs w:val="28"/>
        </w:rPr>
        <w:t>Further, the judge rejected an appl</w:t>
      </w:r>
      <w:r w:rsidR="007D599D" w:rsidRPr="00662BA1">
        <w:rPr>
          <w:szCs w:val="28"/>
        </w:rPr>
        <w:t>ication that the evidence of Mr </w:t>
      </w:r>
      <w:r w:rsidR="00176C73" w:rsidRPr="00662BA1">
        <w:rPr>
          <w:szCs w:val="28"/>
        </w:rPr>
        <w:t>Sutton, a forensic accountant called on behalf of the prosecution as an expert witness, be excluded on the basis of the prejudicial effect that might flow from the opinions that he had expressed in his reports that the transactions in the five bank accounts bore the hallmarks of money-laundering.</w:t>
      </w:r>
      <w:r w:rsidR="00176C73" w:rsidRPr="00662BA1">
        <w:rPr>
          <w:rStyle w:val="FootnoteReference"/>
          <w:szCs w:val="28"/>
        </w:rPr>
        <w:footnoteReference w:id="37"/>
      </w:r>
    </w:p>
    <w:p w:rsidR="007D599D" w:rsidRPr="00662BA1" w:rsidRDefault="00052537" w:rsidP="007D599D">
      <w:pPr>
        <w:tabs>
          <w:tab w:val="clear" w:pos="4320"/>
          <w:tab w:val="clear" w:pos="9072"/>
          <w:tab w:val="left" w:pos="2074"/>
        </w:tabs>
        <w:snapToGrid/>
        <w:spacing w:before="360" w:line="360" w:lineRule="auto"/>
        <w:jc w:val="both"/>
        <w:rPr>
          <w:szCs w:val="28"/>
        </w:rPr>
      </w:pPr>
      <w:r w:rsidRPr="00662BA1">
        <w:rPr>
          <w:szCs w:val="28"/>
        </w:rPr>
        <w:fldChar w:fldCharType="begin"/>
      </w:r>
      <w:r w:rsidR="007D599D" w:rsidRPr="00662BA1">
        <w:rPr>
          <w:szCs w:val="28"/>
        </w:rPr>
        <w:instrText xml:space="preserve"> AUTONUMOUT  </w:instrText>
      </w:r>
      <w:r w:rsidRPr="00662BA1">
        <w:rPr>
          <w:szCs w:val="28"/>
        </w:rPr>
        <w:fldChar w:fldCharType="end"/>
      </w:r>
      <w:r w:rsidR="007D599D" w:rsidRPr="00662BA1">
        <w:rPr>
          <w:szCs w:val="28"/>
        </w:rPr>
        <w:tab/>
      </w:r>
      <w:r w:rsidR="00176C73" w:rsidRPr="00662BA1">
        <w:rPr>
          <w:szCs w:val="28"/>
        </w:rPr>
        <w:t>Whilst no issue was taken with the fact that the complaint of duplicity was raised for the ve</w:t>
      </w:r>
      <w:r w:rsidR="007D599D" w:rsidRPr="00662BA1">
        <w:rPr>
          <w:szCs w:val="28"/>
        </w:rPr>
        <w:t>ry first time in this Court, Mr </w:t>
      </w:r>
      <w:proofErr w:type="spellStart"/>
      <w:r w:rsidR="00AC2E71">
        <w:rPr>
          <w:szCs w:val="28"/>
        </w:rPr>
        <w:t>Caplan</w:t>
      </w:r>
      <w:proofErr w:type="spellEnd"/>
      <w:r w:rsidR="00AC2E71">
        <w:rPr>
          <w:szCs w:val="28"/>
        </w:rPr>
        <w:t xml:space="preserve"> </w:t>
      </w:r>
      <w:r w:rsidR="00176C73" w:rsidRPr="00662BA1">
        <w:rPr>
          <w:szCs w:val="28"/>
        </w:rPr>
        <w:t>invited the Court to have regard to that fact in considering the true gravity of what were contended to be the panoply of problems that confronted the applicant and the conduct of the defence in the face of the duplicitous charges.</w:t>
      </w:r>
    </w:p>
    <w:p w:rsidR="007D599D" w:rsidRPr="00662BA1" w:rsidRDefault="00052537" w:rsidP="007D599D">
      <w:pPr>
        <w:tabs>
          <w:tab w:val="clear" w:pos="4320"/>
          <w:tab w:val="clear" w:pos="9072"/>
          <w:tab w:val="left" w:pos="2074"/>
        </w:tabs>
        <w:snapToGrid/>
        <w:spacing w:before="360" w:line="360" w:lineRule="auto"/>
        <w:jc w:val="both"/>
        <w:rPr>
          <w:szCs w:val="28"/>
        </w:rPr>
      </w:pPr>
      <w:r w:rsidRPr="00662BA1">
        <w:rPr>
          <w:szCs w:val="28"/>
        </w:rPr>
        <w:fldChar w:fldCharType="begin"/>
      </w:r>
      <w:r w:rsidR="007D599D" w:rsidRPr="00662BA1">
        <w:rPr>
          <w:szCs w:val="28"/>
        </w:rPr>
        <w:instrText xml:space="preserve"> AUTONUMOUT  </w:instrText>
      </w:r>
      <w:r w:rsidRPr="00662BA1">
        <w:rPr>
          <w:szCs w:val="28"/>
        </w:rPr>
        <w:fldChar w:fldCharType="end"/>
      </w:r>
      <w:r w:rsidR="007D599D" w:rsidRPr="00662BA1">
        <w:rPr>
          <w:szCs w:val="28"/>
        </w:rPr>
        <w:tab/>
      </w:r>
      <w:r w:rsidR="00176C73" w:rsidRPr="00662BA1">
        <w:rPr>
          <w:szCs w:val="28"/>
        </w:rPr>
        <w:t>Further, it is to be noted that the issue of duplicity was not argued in the original Perfected Grounds of Appeal a</w:t>
      </w:r>
      <w:r w:rsidR="007D599D" w:rsidRPr="00662BA1">
        <w:rPr>
          <w:szCs w:val="28"/>
        </w:rPr>
        <w:t>gainst Conviction settled by Mr </w:t>
      </w:r>
      <w:r w:rsidR="00176C73" w:rsidRPr="00662BA1">
        <w:rPr>
          <w:szCs w:val="28"/>
        </w:rPr>
        <w:t>M</w:t>
      </w:r>
      <w:r w:rsidR="007D599D" w:rsidRPr="00662BA1">
        <w:rPr>
          <w:szCs w:val="28"/>
        </w:rPr>
        <w:t xml:space="preserve"> </w:t>
      </w:r>
      <w:r w:rsidR="00176C73" w:rsidRPr="00662BA1">
        <w:rPr>
          <w:szCs w:val="28"/>
        </w:rPr>
        <w:t xml:space="preserve">K Wong SC, filed with the Court on 12 August 2014, or in the Amended Perfected </w:t>
      </w:r>
      <w:r w:rsidR="007D599D" w:rsidRPr="00662BA1">
        <w:rPr>
          <w:szCs w:val="28"/>
        </w:rPr>
        <w:t>Grounds of Appeal settled by Mr </w:t>
      </w:r>
      <w:proofErr w:type="spellStart"/>
      <w:r w:rsidR="00176C73" w:rsidRPr="00662BA1">
        <w:rPr>
          <w:szCs w:val="28"/>
        </w:rPr>
        <w:t>Plowman</w:t>
      </w:r>
      <w:proofErr w:type="spellEnd"/>
      <w:r w:rsidR="00176C73" w:rsidRPr="00662BA1">
        <w:rPr>
          <w:szCs w:val="28"/>
        </w:rPr>
        <w:t xml:space="preserve"> SC, filed with the Court on 12 November 2014. </w:t>
      </w:r>
      <w:r w:rsidR="007D599D" w:rsidRPr="00662BA1">
        <w:rPr>
          <w:szCs w:val="28"/>
        </w:rPr>
        <w:t xml:space="preserve"> </w:t>
      </w:r>
      <w:r w:rsidR="00176C73" w:rsidRPr="00662BA1">
        <w:rPr>
          <w:szCs w:val="28"/>
        </w:rPr>
        <w:t xml:space="preserve">This ground of appeal was added only in the Re-Amended Perfected Grounds of Appeal filed with the Court on 26 November 2014, namely only after the delivery of the judgment of this Court in </w:t>
      </w:r>
      <w:r w:rsidR="00176C73" w:rsidRPr="00662BA1">
        <w:rPr>
          <w:i/>
          <w:szCs w:val="28"/>
        </w:rPr>
        <w:t xml:space="preserve">HKSAR v </w:t>
      </w:r>
      <w:proofErr w:type="spellStart"/>
      <w:r w:rsidR="00176C73" w:rsidRPr="00662BA1">
        <w:rPr>
          <w:i/>
          <w:szCs w:val="28"/>
        </w:rPr>
        <w:t>Salim</w:t>
      </w:r>
      <w:proofErr w:type="spellEnd"/>
      <w:r w:rsidR="00176C73" w:rsidRPr="00662BA1">
        <w:rPr>
          <w:i/>
          <w:szCs w:val="28"/>
        </w:rPr>
        <w:t xml:space="preserve"> </w:t>
      </w:r>
      <w:r w:rsidR="00176C73" w:rsidRPr="00662BA1">
        <w:rPr>
          <w:szCs w:val="28"/>
        </w:rPr>
        <w:t>on 14 November 2014.</w:t>
      </w:r>
      <w:r w:rsidR="00176C73" w:rsidRPr="00662BA1">
        <w:rPr>
          <w:rStyle w:val="FootnoteReference"/>
          <w:szCs w:val="28"/>
        </w:rPr>
        <w:footnoteReference w:id="38"/>
      </w:r>
    </w:p>
    <w:p w:rsidR="007D599D" w:rsidRPr="00662BA1" w:rsidRDefault="00176C73" w:rsidP="007D599D">
      <w:pPr>
        <w:tabs>
          <w:tab w:val="clear" w:pos="4320"/>
          <w:tab w:val="clear" w:pos="9072"/>
          <w:tab w:val="left" w:pos="2074"/>
        </w:tabs>
        <w:snapToGrid/>
        <w:spacing w:before="360" w:line="360" w:lineRule="auto"/>
        <w:jc w:val="both"/>
        <w:rPr>
          <w:i/>
          <w:szCs w:val="28"/>
        </w:rPr>
      </w:pPr>
      <w:r w:rsidRPr="00662BA1">
        <w:rPr>
          <w:i/>
          <w:szCs w:val="28"/>
        </w:rPr>
        <w:t>The ambit of the charges</w:t>
      </w:r>
    </w:p>
    <w:p w:rsidR="0039341A" w:rsidRDefault="00052537" w:rsidP="0039341A">
      <w:pPr>
        <w:tabs>
          <w:tab w:val="clear" w:pos="4320"/>
          <w:tab w:val="clear" w:pos="9072"/>
          <w:tab w:val="left" w:pos="2074"/>
        </w:tabs>
        <w:snapToGrid/>
        <w:spacing w:before="360" w:line="360" w:lineRule="auto"/>
        <w:jc w:val="both"/>
        <w:rPr>
          <w:rFonts w:eastAsia="PMingLiU"/>
          <w:szCs w:val="28"/>
          <w:lang w:eastAsia="zh-TW"/>
        </w:rPr>
      </w:pPr>
      <w:r w:rsidRPr="00662BA1">
        <w:rPr>
          <w:szCs w:val="28"/>
        </w:rPr>
        <w:fldChar w:fldCharType="begin"/>
      </w:r>
      <w:r w:rsidR="007D599D" w:rsidRPr="00662BA1">
        <w:rPr>
          <w:szCs w:val="28"/>
        </w:rPr>
        <w:instrText xml:space="preserve"> AUTONUMOUT  </w:instrText>
      </w:r>
      <w:r w:rsidRPr="00662BA1">
        <w:rPr>
          <w:szCs w:val="28"/>
        </w:rPr>
        <w:fldChar w:fldCharType="end"/>
      </w:r>
      <w:r w:rsidR="007D599D" w:rsidRPr="00662BA1">
        <w:rPr>
          <w:szCs w:val="28"/>
        </w:rPr>
        <w:tab/>
      </w:r>
      <w:r w:rsidR="00176C73" w:rsidRPr="00662BA1">
        <w:rPr>
          <w:szCs w:val="28"/>
        </w:rPr>
        <w:t xml:space="preserve">As noted earlier, the Particulars of Offence of the charges averred that the impugned conduct had occurred in a period of about </w:t>
      </w:r>
      <w:r w:rsidR="00ED4B9F" w:rsidRPr="00662BA1">
        <w:rPr>
          <w:szCs w:val="28"/>
        </w:rPr>
        <w:t>six y</w:t>
      </w:r>
      <w:r w:rsidR="00176C73" w:rsidRPr="00662BA1">
        <w:rPr>
          <w:szCs w:val="28"/>
        </w:rPr>
        <w:t xml:space="preserve">ears in the overall period 2001-2007, in which period there were multiple deposits to each of the </w:t>
      </w:r>
      <w:r w:rsidR="00ED4B9F" w:rsidRPr="00662BA1">
        <w:rPr>
          <w:szCs w:val="28"/>
        </w:rPr>
        <w:t>five</w:t>
      </w:r>
      <w:r w:rsidR="00176C73" w:rsidRPr="00662BA1">
        <w:rPr>
          <w:szCs w:val="28"/>
        </w:rPr>
        <w:t xml:space="preserve"> bank accounts. </w:t>
      </w:r>
      <w:r w:rsidR="00ED4B9F" w:rsidRPr="00662BA1">
        <w:rPr>
          <w:szCs w:val="28"/>
        </w:rPr>
        <w:t xml:space="preserve"> </w:t>
      </w:r>
      <w:r w:rsidR="00176C73" w:rsidRPr="00662BA1">
        <w:rPr>
          <w:szCs w:val="28"/>
        </w:rPr>
        <w:t xml:space="preserve">Each of the charges concerned the aggregate amount of deposits in the respective periods. </w:t>
      </w:r>
      <w:r w:rsidR="00ED4B9F" w:rsidRPr="00662BA1">
        <w:rPr>
          <w:szCs w:val="28"/>
        </w:rPr>
        <w:t xml:space="preserve"> </w:t>
      </w:r>
      <w:r w:rsidR="00176C73" w:rsidRPr="00662BA1">
        <w:rPr>
          <w:szCs w:val="28"/>
        </w:rPr>
        <w:t xml:space="preserve">The deposits were by way of cash, cheques or transfer. </w:t>
      </w:r>
      <w:r w:rsidR="00ED4B9F" w:rsidRPr="00662BA1">
        <w:rPr>
          <w:szCs w:val="28"/>
        </w:rPr>
        <w:t xml:space="preserve"> </w:t>
      </w:r>
      <w:proofErr w:type="gramStart"/>
      <w:r w:rsidR="00176C73" w:rsidRPr="00662BA1">
        <w:rPr>
          <w:szCs w:val="28"/>
        </w:rPr>
        <w:t>Some of the depositors or remitters were known, others were not.</w:t>
      </w:r>
      <w:proofErr w:type="gramEnd"/>
      <w:r w:rsidR="00176C73" w:rsidRPr="00662BA1">
        <w:rPr>
          <w:szCs w:val="28"/>
        </w:rPr>
        <w:t xml:space="preserve"> </w:t>
      </w:r>
      <w:r w:rsidR="00ED4B9F" w:rsidRPr="00662BA1">
        <w:rPr>
          <w:szCs w:val="28"/>
        </w:rPr>
        <w:t xml:space="preserve"> </w:t>
      </w:r>
      <w:r w:rsidR="00176C73" w:rsidRPr="00662BA1">
        <w:rPr>
          <w:szCs w:val="28"/>
        </w:rPr>
        <w:t>For, example, there were 406 deposits into the bank account the subject of Charge</w:t>
      </w:r>
      <w:r w:rsidR="00EA2986">
        <w:rPr>
          <w:szCs w:val="28"/>
        </w:rPr>
        <w:t> </w:t>
      </w:r>
      <w:r w:rsidR="00176C73" w:rsidRPr="00662BA1">
        <w:rPr>
          <w:szCs w:val="28"/>
        </w:rPr>
        <w:t xml:space="preserve">1. </w:t>
      </w:r>
      <w:r w:rsidR="00EA2986">
        <w:rPr>
          <w:szCs w:val="28"/>
        </w:rPr>
        <w:t xml:space="preserve"> </w:t>
      </w:r>
      <w:r w:rsidR="00176C73" w:rsidRPr="00662BA1">
        <w:rPr>
          <w:szCs w:val="28"/>
        </w:rPr>
        <w:t>Of the approximately $159 million deposited by cheques in 103 tr</w:t>
      </w:r>
      <w:r w:rsidR="00ED4B9F" w:rsidRPr="00662BA1">
        <w:rPr>
          <w:szCs w:val="28"/>
        </w:rPr>
        <w:t>ansactions, other than the $1.2 </w:t>
      </w:r>
      <w:r w:rsidR="00176C73" w:rsidRPr="00662BA1">
        <w:rPr>
          <w:szCs w:val="28"/>
        </w:rPr>
        <w:t>million drawn on cheques on accounts in the name of the applicant or his father, the identity of all the other 19 persons and/or entities on whose accounts the cheques were drawn was known.</w:t>
      </w:r>
      <w:r w:rsidR="00ED4B9F" w:rsidRPr="00662BA1">
        <w:rPr>
          <w:szCs w:val="28"/>
        </w:rPr>
        <w:t xml:space="preserve">  About $27.9 </w:t>
      </w:r>
      <w:r w:rsidR="00176C73" w:rsidRPr="00662BA1">
        <w:rPr>
          <w:szCs w:val="28"/>
        </w:rPr>
        <w:t xml:space="preserve">million in cash was deposited in 196 transactions. </w:t>
      </w:r>
      <w:r w:rsidR="00ED4B9F" w:rsidRPr="00662BA1">
        <w:rPr>
          <w:szCs w:val="28"/>
        </w:rPr>
        <w:t xml:space="preserve"> </w:t>
      </w:r>
      <w:r w:rsidR="00176C73" w:rsidRPr="00662BA1">
        <w:rPr>
          <w:szCs w:val="28"/>
        </w:rPr>
        <w:t xml:space="preserve">The identity of those depositors was not known. </w:t>
      </w:r>
      <w:r w:rsidR="00ED4B9F" w:rsidRPr="00662BA1">
        <w:rPr>
          <w:szCs w:val="28"/>
        </w:rPr>
        <w:t xml:space="preserve"> </w:t>
      </w:r>
      <w:r w:rsidR="00176C73" w:rsidRPr="00662BA1">
        <w:rPr>
          <w:szCs w:val="28"/>
        </w:rPr>
        <w:t xml:space="preserve">About $159 million was deposited by way of transfer from the accounts of </w:t>
      </w:r>
      <w:r w:rsidR="00ED4B9F" w:rsidRPr="00662BA1">
        <w:rPr>
          <w:szCs w:val="28"/>
        </w:rPr>
        <w:t>eight</w:t>
      </w:r>
      <w:r w:rsidR="00176C73" w:rsidRPr="00662BA1">
        <w:rPr>
          <w:szCs w:val="28"/>
        </w:rPr>
        <w:t xml:space="preserve"> known entities and/or persons, including the applicant and his father, in 93 transactions.</w:t>
      </w:r>
      <w:r w:rsidR="00176C73" w:rsidRPr="00662BA1">
        <w:rPr>
          <w:rStyle w:val="FootnoteReference"/>
          <w:szCs w:val="28"/>
        </w:rPr>
        <w:footnoteReference w:id="39"/>
      </w:r>
    </w:p>
    <w:p w:rsidR="00176C73" w:rsidRPr="00662BA1" w:rsidRDefault="00052537" w:rsidP="0039341A">
      <w:pPr>
        <w:tabs>
          <w:tab w:val="clear" w:pos="4320"/>
          <w:tab w:val="clear" w:pos="9072"/>
          <w:tab w:val="left" w:pos="2074"/>
        </w:tabs>
        <w:snapToGrid/>
        <w:spacing w:before="360" w:line="360" w:lineRule="auto"/>
        <w:jc w:val="both"/>
        <w:rPr>
          <w:szCs w:val="28"/>
        </w:rPr>
      </w:pPr>
      <w:r w:rsidRPr="00662BA1">
        <w:rPr>
          <w:szCs w:val="28"/>
        </w:rPr>
        <w:fldChar w:fldCharType="begin"/>
      </w:r>
      <w:r w:rsidR="006E30B2" w:rsidRPr="00662BA1">
        <w:rPr>
          <w:szCs w:val="28"/>
        </w:rPr>
        <w:instrText xml:space="preserve"> AUTONUMOUT  </w:instrText>
      </w:r>
      <w:r w:rsidRPr="00662BA1">
        <w:rPr>
          <w:szCs w:val="28"/>
        </w:rPr>
        <w:fldChar w:fldCharType="end"/>
      </w:r>
      <w:r w:rsidR="006E30B2" w:rsidRPr="00662BA1">
        <w:rPr>
          <w:szCs w:val="28"/>
        </w:rPr>
        <w:tab/>
      </w:r>
      <w:r w:rsidR="00176C73" w:rsidRPr="00662BA1">
        <w:rPr>
          <w:szCs w:val="28"/>
        </w:rPr>
        <w:t>The form and content of an indictment in Hong Kong is governed by the Indictment Rules</w:t>
      </w:r>
      <w:r w:rsidR="00EE4952">
        <w:rPr>
          <w:szCs w:val="28"/>
        </w:rPr>
        <w:t>,</w:t>
      </w:r>
      <w:r w:rsidR="00176C73" w:rsidRPr="00662BA1">
        <w:rPr>
          <w:szCs w:val="28"/>
        </w:rPr>
        <w:t xml:space="preserve"> Ca</w:t>
      </w:r>
      <w:r w:rsidR="006E30B2" w:rsidRPr="00662BA1">
        <w:rPr>
          <w:szCs w:val="28"/>
        </w:rPr>
        <w:t>p. </w:t>
      </w:r>
      <w:r w:rsidR="00176C73" w:rsidRPr="00662BA1">
        <w:rPr>
          <w:szCs w:val="28"/>
        </w:rPr>
        <w:t>221C</w:t>
      </w:r>
      <w:proofErr w:type="gramStart"/>
      <w:r w:rsidR="00176C73" w:rsidRPr="00662BA1">
        <w:rPr>
          <w:szCs w:val="28"/>
        </w:rPr>
        <w:t xml:space="preserve">. </w:t>
      </w:r>
      <w:r w:rsidR="000C4499" w:rsidRPr="00662BA1">
        <w:rPr>
          <w:szCs w:val="28"/>
        </w:rPr>
        <w:t xml:space="preserve"> </w:t>
      </w:r>
      <w:r w:rsidR="00176C73" w:rsidRPr="00662BA1">
        <w:rPr>
          <w:szCs w:val="28"/>
        </w:rPr>
        <w:t>Rule</w:t>
      </w:r>
      <w:proofErr w:type="gramEnd"/>
      <w:r w:rsidR="00176C73" w:rsidRPr="00662BA1">
        <w:rPr>
          <w:szCs w:val="28"/>
        </w:rPr>
        <w:t xml:space="preserve"> 2(2) provides that:</w:t>
      </w:r>
    </w:p>
    <w:p w:rsidR="006E30B2" w:rsidRPr="00662BA1" w:rsidRDefault="006E30B2" w:rsidP="006E30B2">
      <w:pPr>
        <w:pStyle w:val="Default"/>
        <w:tabs>
          <w:tab w:val="left" w:pos="2074"/>
        </w:tabs>
        <w:autoSpaceDE/>
        <w:autoSpaceDN/>
        <w:adjustRightInd/>
        <w:spacing w:before="240"/>
        <w:ind w:left="1454" w:right="835" w:hanging="187"/>
        <w:jc w:val="both"/>
        <w:rPr>
          <w:rFonts w:ascii="Times New Roman" w:cs="Times New Roman"/>
        </w:rPr>
      </w:pPr>
      <w:r w:rsidRPr="00662BA1">
        <w:rPr>
          <w:rFonts w:ascii="Times New Roman" w:cs="Times New Roman"/>
          <w:sz w:val="28"/>
          <w:szCs w:val="28"/>
        </w:rPr>
        <w:t>“</w:t>
      </w:r>
      <w:r w:rsidRPr="00662BA1">
        <w:rPr>
          <w:rFonts w:ascii="Times New Roman" w:cs="Times New Roman"/>
          <w:sz w:val="28"/>
          <w:szCs w:val="28"/>
        </w:rPr>
        <w:tab/>
      </w:r>
      <w:r w:rsidR="00176C73" w:rsidRPr="00662BA1">
        <w:rPr>
          <w:rFonts w:ascii="Times New Roman" w:eastAsia="YLJPFT+TimesNewRomanPS-ItalicMT" w:cs="Times New Roman"/>
          <w:iCs/>
        </w:rPr>
        <w:t>Where more than one offence is charged in an indictment, the statement and particulars of each offence shall be set out in a separate paragraph called a count, and rules 3 and 4 of these Rules shall apply to each count in the indictment as they apply to an indictment where one offence is charged</w:t>
      </w:r>
      <w:r w:rsidR="00176C73" w:rsidRPr="00662BA1">
        <w:rPr>
          <w:rFonts w:ascii="Times New Roman" w:cs="Times New Roman"/>
        </w:rPr>
        <w:t xml:space="preserve">.” </w:t>
      </w:r>
    </w:p>
    <w:p w:rsidR="006E30B2" w:rsidRPr="00662BA1" w:rsidRDefault="006E30B2" w:rsidP="006E30B2">
      <w:pPr>
        <w:pStyle w:val="Default"/>
        <w:tabs>
          <w:tab w:val="left" w:pos="2074"/>
        </w:tabs>
        <w:autoSpaceDE/>
        <w:autoSpaceDN/>
        <w:adjustRightInd/>
        <w:spacing w:line="80" w:lineRule="exact"/>
        <w:ind w:left="1454" w:right="835" w:hanging="187"/>
        <w:jc w:val="both"/>
        <w:rPr>
          <w:rFonts w:ascii="Times New Roman" w:cs="Times New Roman"/>
        </w:rPr>
      </w:pPr>
    </w:p>
    <w:p w:rsidR="00176C73" w:rsidRPr="00662BA1" w:rsidRDefault="00176C73" w:rsidP="006E30B2">
      <w:pPr>
        <w:pStyle w:val="Default"/>
        <w:tabs>
          <w:tab w:val="left" w:pos="2074"/>
        </w:tabs>
        <w:autoSpaceDE/>
        <w:autoSpaceDN/>
        <w:adjustRightInd/>
        <w:spacing w:line="80" w:lineRule="exact"/>
        <w:ind w:left="1454" w:right="835" w:hanging="187"/>
        <w:jc w:val="both"/>
        <w:rPr>
          <w:rFonts w:ascii="Times New Roman" w:cs="Times New Roman"/>
        </w:rPr>
      </w:pPr>
    </w:p>
    <w:p w:rsidR="00176C73" w:rsidRPr="00662BA1" w:rsidRDefault="00052537" w:rsidP="006E30B2">
      <w:pPr>
        <w:pStyle w:val="Default"/>
        <w:tabs>
          <w:tab w:val="left" w:pos="1440"/>
          <w:tab w:val="left" w:pos="2074"/>
        </w:tabs>
        <w:autoSpaceDE/>
        <w:autoSpaceDN/>
        <w:adjustRightInd/>
        <w:spacing w:before="360" w:line="360" w:lineRule="auto"/>
        <w:jc w:val="both"/>
        <w:rPr>
          <w:rFonts w:ascii="Times New Roman" w:eastAsia="宋体" w:cs="Times New Roman"/>
          <w:color w:val="auto"/>
          <w:sz w:val="28"/>
          <w:szCs w:val="28"/>
        </w:rPr>
      </w:pPr>
      <w:r w:rsidRPr="00662BA1">
        <w:rPr>
          <w:rFonts w:ascii="Times New Roman" w:eastAsia="宋体" w:cs="Times New Roman"/>
          <w:color w:val="auto"/>
          <w:sz w:val="28"/>
        </w:rPr>
        <w:fldChar w:fldCharType="begin"/>
      </w:r>
      <w:r w:rsidR="006E30B2" w:rsidRPr="00662BA1">
        <w:rPr>
          <w:rFonts w:ascii="Times New Roman" w:eastAsia="宋体" w:cs="Times New Roman"/>
          <w:color w:val="auto"/>
          <w:sz w:val="28"/>
        </w:rPr>
        <w:instrText xml:space="preserve"> AUTONUMOUT  </w:instrText>
      </w:r>
      <w:r w:rsidRPr="00662BA1">
        <w:rPr>
          <w:rFonts w:ascii="Times New Roman" w:eastAsia="宋体" w:cs="Times New Roman"/>
          <w:color w:val="auto"/>
          <w:sz w:val="28"/>
        </w:rPr>
        <w:fldChar w:fldCharType="end"/>
      </w:r>
      <w:r w:rsidR="006E30B2" w:rsidRPr="00662BA1">
        <w:rPr>
          <w:rFonts w:ascii="Times New Roman" w:eastAsia="宋体" w:cs="Times New Roman"/>
          <w:color w:val="auto"/>
          <w:sz w:val="28"/>
        </w:rPr>
        <w:tab/>
      </w:r>
      <w:r w:rsidR="00176C73" w:rsidRPr="00662BA1">
        <w:rPr>
          <w:rFonts w:ascii="Times New Roman" w:cs="Times New Roman"/>
          <w:sz w:val="28"/>
          <w:szCs w:val="28"/>
        </w:rPr>
        <w:t xml:space="preserve">Accordingly, a count may not allege more than one offence. </w:t>
      </w:r>
      <w:r w:rsidR="00304268" w:rsidRPr="00662BA1">
        <w:rPr>
          <w:rFonts w:ascii="Times New Roman" w:cs="Times New Roman"/>
          <w:sz w:val="28"/>
          <w:szCs w:val="28"/>
        </w:rPr>
        <w:t xml:space="preserve"> </w:t>
      </w:r>
      <w:r w:rsidR="00176C73" w:rsidRPr="00662BA1">
        <w:rPr>
          <w:rFonts w:ascii="Times New Roman" w:cs="Times New Roman"/>
          <w:sz w:val="28"/>
          <w:szCs w:val="28"/>
        </w:rPr>
        <w:t>However, one offence may consist of one activity even though more than one physical act may be involved.</w:t>
      </w:r>
      <w:r w:rsidR="00176C73" w:rsidRPr="00662BA1">
        <w:rPr>
          <w:rStyle w:val="FootnoteReference"/>
          <w:rFonts w:ascii="Times New Roman" w:cs="Times New Roman"/>
          <w:sz w:val="28"/>
          <w:szCs w:val="28"/>
        </w:rPr>
        <w:footnoteReference w:id="40"/>
      </w:r>
      <w:r w:rsidR="00176C73" w:rsidRPr="00662BA1">
        <w:rPr>
          <w:rFonts w:ascii="Times New Roman" w:cs="Times New Roman"/>
          <w:sz w:val="28"/>
          <w:szCs w:val="28"/>
        </w:rPr>
        <w:t xml:space="preserve">  In his speech in </w:t>
      </w:r>
      <w:r w:rsidR="00176C73" w:rsidRPr="00662BA1">
        <w:rPr>
          <w:rFonts w:ascii="Times New Roman" w:cs="Times New Roman"/>
          <w:i/>
          <w:sz w:val="28"/>
          <w:szCs w:val="28"/>
        </w:rPr>
        <w:t>DDP v Merriman</w:t>
      </w:r>
      <w:r w:rsidR="00176C73" w:rsidRPr="00662BA1">
        <w:rPr>
          <w:rFonts w:ascii="Times New Roman" w:cs="Times New Roman"/>
          <w:sz w:val="28"/>
          <w:szCs w:val="28"/>
        </w:rPr>
        <w:t>, Lord Morris addressed th</w:t>
      </w:r>
      <w:r w:rsidR="00807C79" w:rsidRPr="00662BA1">
        <w:rPr>
          <w:rFonts w:ascii="Times New Roman" w:cs="Times New Roman"/>
          <w:sz w:val="28"/>
          <w:szCs w:val="28"/>
        </w:rPr>
        <w:t>at issue in the context of r</w:t>
      </w:r>
      <w:r w:rsidR="00304268" w:rsidRPr="00662BA1">
        <w:rPr>
          <w:rFonts w:ascii="Times New Roman" w:cs="Times New Roman"/>
          <w:sz w:val="28"/>
          <w:szCs w:val="28"/>
        </w:rPr>
        <w:t>ule 4 of Schedule </w:t>
      </w:r>
      <w:r w:rsidR="00176C73" w:rsidRPr="00662BA1">
        <w:rPr>
          <w:rFonts w:ascii="Times New Roman" w:cs="Times New Roman"/>
          <w:sz w:val="28"/>
          <w:szCs w:val="28"/>
        </w:rPr>
        <w:t>1 of the Indictments Act, which was in ma</w:t>
      </w:r>
      <w:r w:rsidR="00304268" w:rsidRPr="00662BA1">
        <w:rPr>
          <w:rFonts w:ascii="Times New Roman" w:cs="Times New Roman"/>
          <w:sz w:val="28"/>
          <w:szCs w:val="28"/>
        </w:rPr>
        <w:t xml:space="preserve">terially the same terms as </w:t>
      </w:r>
      <w:r w:rsidR="00807C79" w:rsidRPr="00662BA1">
        <w:rPr>
          <w:rFonts w:ascii="Times New Roman" w:cs="Times New Roman"/>
          <w:sz w:val="28"/>
          <w:szCs w:val="28"/>
        </w:rPr>
        <w:t>r</w:t>
      </w:r>
      <w:r w:rsidR="00304268" w:rsidRPr="00662BA1">
        <w:rPr>
          <w:rFonts w:ascii="Times New Roman" w:cs="Times New Roman"/>
          <w:sz w:val="28"/>
          <w:szCs w:val="28"/>
        </w:rPr>
        <w:t>ule </w:t>
      </w:r>
      <w:r w:rsidR="00176C73" w:rsidRPr="00662BA1">
        <w:rPr>
          <w:rFonts w:ascii="Times New Roman" w:cs="Times New Roman"/>
          <w:sz w:val="28"/>
          <w:szCs w:val="28"/>
        </w:rPr>
        <w:t xml:space="preserve">2(2), </w:t>
      </w:r>
    </w:p>
    <w:p w:rsidR="00176C73" w:rsidRPr="00662BA1" w:rsidRDefault="00176C73" w:rsidP="003B6D02">
      <w:pPr>
        <w:pStyle w:val="FootnoteText"/>
        <w:spacing w:line="360" w:lineRule="auto"/>
        <w:jc w:val="both"/>
        <w:rPr>
          <w:sz w:val="28"/>
          <w:szCs w:val="28"/>
        </w:rPr>
      </w:pPr>
      <w:proofErr w:type="gramStart"/>
      <w:r w:rsidRPr="00662BA1">
        <w:rPr>
          <w:sz w:val="28"/>
          <w:szCs w:val="28"/>
        </w:rPr>
        <w:t>and</w:t>
      </w:r>
      <w:proofErr w:type="gramEnd"/>
      <w:r w:rsidRPr="00662BA1">
        <w:rPr>
          <w:sz w:val="28"/>
          <w:szCs w:val="28"/>
        </w:rPr>
        <w:t xml:space="preserve"> said:</w:t>
      </w:r>
      <w:r w:rsidR="00E93C10">
        <w:rPr>
          <w:rStyle w:val="FootnoteReference"/>
          <w:sz w:val="28"/>
          <w:szCs w:val="28"/>
        </w:rPr>
        <w:footnoteReference w:id="41"/>
      </w:r>
    </w:p>
    <w:p w:rsidR="009619ED" w:rsidRPr="00662BA1" w:rsidRDefault="00304268" w:rsidP="00304268">
      <w:pPr>
        <w:pStyle w:val="FootnoteText"/>
        <w:tabs>
          <w:tab w:val="left" w:pos="2074"/>
        </w:tabs>
        <w:spacing w:before="240" w:after="0" w:line="240" w:lineRule="auto"/>
        <w:ind w:left="1454" w:right="835" w:hanging="187"/>
        <w:jc w:val="both"/>
        <w:rPr>
          <w:sz w:val="24"/>
          <w:szCs w:val="22"/>
        </w:rPr>
      </w:pPr>
      <w:r w:rsidRPr="00662BA1">
        <w:rPr>
          <w:sz w:val="24"/>
          <w:szCs w:val="22"/>
        </w:rPr>
        <w:t>“</w:t>
      </w:r>
      <w:r w:rsidRPr="00662BA1">
        <w:rPr>
          <w:sz w:val="24"/>
          <w:szCs w:val="22"/>
        </w:rPr>
        <w:tab/>
      </w:r>
      <w:r w:rsidR="00176C73" w:rsidRPr="00662BA1">
        <w:rPr>
          <w:sz w:val="24"/>
          <w:szCs w:val="22"/>
        </w:rPr>
        <w:t>In my view, such questions when they arise are best answered by applying common sense and by deciding what is fair in the circumstances</w:t>
      </w:r>
      <w:r w:rsidR="00E93C10">
        <w:rPr>
          <w:sz w:val="24"/>
          <w:szCs w:val="22"/>
        </w:rPr>
        <w:t>.  No</w:t>
      </w:r>
      <w:r w:rsidR="00176C73" w:rsidRPr="00662BA1">
        <w:rPr>
          <w:sz w:val="24"/>
          <w:szCs w:val="22"/>
        </w:rPr>
        <w:t xml:space="preserve"> precise formula can usefully be laid down but I consider that clear and helpful guidance was given by Lord </w:t>
      </w:r>
      <w:proofErr w:type="spellStart"/>
      <w:r w:rsidR="00176C73" w:rsidRPr="00662BA1">
        <w:rPr>
          <w:sz w:val="24"/>
          <w:szCs w:val="22"/>
        </w:rPr>
        <w:t>Widgery</w:t>
      </w:r>
      <w:proofErr w:type="spellEnd"/>
      <w:r w:rsidR="00176C73" w:rsidRPr="00662BA1">
        <w:rPr>
          <w:sz w:val="24"/>
          <w:szCs w:val="22"/>
        </w:rPr>
        <w:t xml:space="preserve"> CJ in a case where it was being considered whether an information was bad for duplicity: see </w:t>
      </w:r>
      <w:proofErr w:type="spellStart"/>
      <w:r w:rsidR="00176C73" w:rsidRPr="00662BA1">
        <w:rPr>
          <w:i/>
          <w:sz w:val="24"/>
          <w:szCs w:val="22"/>
        </w:rPr>
        <w:t>Jemmison</w:t>
      </w:r>
      <w:proofErr w:type="spellEnd"/>
      <w:r w:rsidR="00176C73" w:rsidRPr="00662BA1">
        <w:rPr>
          <w:i/>
          <w:sz w:val="24"/>
          <w:szCs w:val="22"/>
        </w:rPr>
        <w:t xml:space="preserve"> v </w:t>
      </w:r>
      <w:proofErr w:type="spellStart"/>
      <w:r w:rsidR="00176C73" w:rsidRPr="00662BA1">
        <w:rPr>
          <w:i/>
          <w:sz w:val="24"/>
          <w:szCs w:val="22"/>
        </w:rPr>
        <w:t>Priddle</w:t>
      </w:r>
      <w:proofErr w:type="spellEnd"/>
      <w:r w:rsidRPr="00662BA1">
        <w:rPr>
          <w:sz w:val="24"/>
          <w:szCs w:val="22"/>
        </w:rPr>
        <w:t xml:space="preserve"> [</w:t>
      </w:r>
      <w:r w:rsidR="00176C73" w:rsidRPr="00662BA1">
        <w:rPr>
          <w:sz w:val="24"/>
          <w:szCs w:val="22"/>
        </w:rPr>
        <w:t xml:space="preserve">1972] 1 QB 499, 495. </w:t>
      </w:r>
      <w:r w:rsidRPr="00662BA1">
        <w:rPr>
          <w:sz w:val="24"/>
          <w:szCs w:val="22"/>
        </w:rPr>
        <w:t xml:space="preserve"> </w:t>
      </w:r>
      <w:r w:rsidR="00176C73" w:rsidRPr="00662BA1">
        <w:rPr>
          <w:sz w:val="24"/>
          <w:szCs w:val="22"/>
        </w:rPr>
        <w:t xml:space="preserve">I agree respectfully with Lord </w:t>
      </w:r>
      <w:proofErr w:type="spellStart"/>
      <w:r w:rsidR="00176C73" w:rsidRPr="00662BA1">
        <w:rPr>
          <w:sz w:val="24"/>
          <w:szCs w:val="22"/>
        </w:rPr>
        <w:t>Widgery</w:t>
      </w:r>
      <w:proofErr w:type="spellEnd"/>
      <w:r w:rsidR="00176C73" w:rsidRPr="00662BA1">
        <w:rPr>
          <w:sz w:val="24"/>
          <w:szCs w:val="22"/>
        </w:rPr>
        <w:t xml:space="preserve"> that it will often be legitimate to bring a single charge in respect of what might be called one activity even though that activity may involve more than one act.</w:t>
      </w:r>
      <w:r w:rsidRPr="00662BA1">
        <w:rPr>
          <w:sz w:val="24"/>
          <w:szCs w:val="22"/>
        </w:rPr>
        <w:t>” </w:t>
      </w:r>
    </w:p>
    <w:p w:rsidR="009619ED" w:rsidRPr="00662BA1" w:rsidRDefault="009619ED" w:rsidP="009619ED">
      <w:pPr>
        <w:pStyle w:val="FootnoteText"/>
        <w:tabs>
          <w:tab w:val="left" w:pos="2074"/>
        </w:tabs>
        <w:spacing w:after="0" w:line="80" w:lineRule="exact"/>
        <w:ind w:left="1454" w:right="835" w:hanging="187"/>
        <w:jc w:val="both"/>
        <w:rPr>
          <w:sz w:val="24"/>
          <w:szCs w:val="22"/>
        </w:rPr>
      </w:pPr>
    </w:p>
    <w:p w:rsidR="00176C73" w:rsidRPr="00662BA1" w:rsidRDefault="00176C73" w:rsidP="009619ED">
      <w:pPr>
        <w:pStyle w:val="FootnoteText"/>
        <w:tabs>
          <w:tab w:val="left" w:pos="2074"/>
        </w:tabs>
        <w:spacing w:after="0" w:line="80" w:lineRule="exact"/>
        <w:ind w:left="1454" w:right="835" w:hanging="187"/>
        <w:jc w:val="both"/>
        <w:rPr>
          <w:sz w:val="24"/>
          <w:szCs w:val="22"/>
        </w:rPr>
      </w:pPr>
    </w:p>
    <w:p w:rsidR="00176C73" w:rsidRPr="00662BA1" w:rsidRDefault="00052537" w:rsidP="009619ED">
      <w:pPr>
        <w:pStyle w:val="FootnoteText"/>
        <w:tabs>
          <w:tab w:val="left" w:pos="1440"/>
          <w:tab w:val="left" w:pos="2074"/>
        </w:tabs>
        <w:spacing w:before="360" w:after="0" w:line="360" w:lineRule="auto"/>
        <w:jc w:val="both"/>
        <w:rPr>
          <w:sz w:val="28"/>
          <w:szCs w:val="22"/>
        </w:rPr>
      </w:pPr>
      <w:r w:rsidRPr="00662BA1">
        <w:rPr>
          <w:sz w:val="28"/>
          <w:szCs w:val="22"/>
        </w:rPr>
        <w:fldChar w:fldCharType="begin"/>
      </w:r>
      <w:r w:rsidR="009619ED" w:rsidRPr="00662BA1">
        <w:rPr>
          <w:sz w:val="28"/>
          <w:szCs w:val="22"/>
        </w:rPr>
        <w:instrText xml:space="preserve"> AUTONUMOUT  </w:instrText>
      </w:r>
      <w:r w:rsidRPr="00662BA1">
        <w:rPr>
          <w:sz w:val="28"/>
          <w:szCs w:val="22"/>
        </w:rPr>
        <w:fldChar w:fldCharType="end"/>
      </w:r>
      <w:r w:rsidR="009619ED" w:rsidRPr="00662BA1">
        <w:rPr>
          <w:sz w:val="28"/>
          <w:szCs w:val="22"/>
        </w:rPr>
        <w:tab/>
      </w:r>
      <w:r w:rsidR="00176C73" w:rsidRPr="00662BA1">
        <w:rPr>
          <w:sz w:val="28"/>
          <w:szCs w:val="28"/>
        </w:rPr>
        <w:t xml:space="preserve">In his speech, Lord </w:t>
      </w:r>
      <w:proofErr w:type="spellStart"/>
      <w:r w:rsidR="00176C73" w:rsidRPr="00662BA1">
        <w:rPr>
          <w:sz w:val="28"/>
          <w:szCs w:val="28"/>
        </w:rPr>
        <w:t>Diplock</w:t>
      </w:r>
      <w:proofErr w:type="spellEnd"/>
      <w:r w:rsidR="00176C73" w:rsidRPr="00662BA1">
        <w:rPr>
          <w:sz w:val="28"/>
          <w:szCs w:val="28"/>
        </w:rPr>
        <w:t xml:space="preserve"> said of the rule against duplicity,</w:t>
      </w:r>
      <w:r w:rsidR="009619ED" w:rsidRPr="00662BA1">
        <w:rPr>
          <w:sz w:val="28"/>
          <w:szCs w:val="28"/>
        </w:rPr>
        <w:t xml:space="preserve"> incorporated in </w:t>
      </w:r>
      <w:r w:rsidR="00807C79" w:rsidRPr="00662BA1">
        <w:rPr>
          <w:sz w:val="28"/>
          <w:szCs w:val="28"/>
        </w:rPr>
        <w:t>r</w:t>
      </w:r>
      <w:r w:rsidR="00176C73" w:rsidRPr="00662BA1">
        <w:rPr>
          <w:sz w:val="28"/>
          <w:szCs w:val="28"/>
        </w:rPr>
        <w:t>ule 4, that it:</w:t>
      </w:r>
      <w:r w:rsidR="00910251">
        <w:rPr>
          <w:rStyle w:val="FootnoteReference"/>
          <w:sz w:val="28"/>
          <w:szCs w:val="28"/>
        </w:rPr>
        <w:footnoteReference w:id="42"/>
      </w:r>
    </w:p>
    <w:p w:rsidR="009619ED" w:rsidRPr="00662BA1" w:rsidRDefault="009619ED" w:rsidP="009619ED">
      <w:pPr>
        <w:pStyle w:val="Default"/>
        <w:tabs>
          <w:tab w:val="left" w:pos="2074"/>
        </w:tabs>
        <w:autoSpaceDE/>
        <w:autoSpaceDN/>
        <w:adjustRightInd/>
        <w:spacing w:before="240"/>
        <w:ind w:left="1454" w:right="835" w:hanging="187"/>
        <w:jc w:val="both"/>
        <w:rPr>
          <w:rFonts w:ascii="Times New Roman" w:cs="Times New Roman"/>
          <w:szCs w:val="28"/>
          <w:lang w:val="en-GB"/>
        </w:rPr>
      </w:pPr>
      <w:r w:rsidRPr="00662BA1">
        <w:rPr>
          <w:rFonts w:ascii="Times New Roman" w:cs="Times New Roman"/>
          <w:szCs w:val="28"/>
          <w:lang w:val="en-GB"/>
        </w:rPr>
        <w:t>“</w:t>
      </w:r>
      <w:r w:rsidRPr="00662BA1">
        <w:rPr>
          <w:rFonts w:ascii="Times New Roman" w:cs="Times New Roman"/>
          <w:szCs w:val="28"/>
          <w:lang w:val="en-GB"/>
        </w:rPr>
        <w:tab/>
      </w:r>
      <w:r w:rsidR="00176C73" w:rsidRPr="00662BA1">
        <w:rPr>
          <w:rFonts w:ascii="Times New Roman" w:cs="Times New Roman"/>
          <w:szCs w:val="28"/>
          <w:lang w:val="en-GB"/>
        </w:rPr>
        <w:t xml:space="preserve">…has always been applied in a practical, rather than in a strictly analytical, way for the purpose of determining what constituted one offence. </w:t>
      </w:r>
      <w:r w:rsidRPr="00662BA1">
        <w:rPr>
          <w:rFonts w:ascii="Times New Roman" w:cs="Times New Roman"/>
          <w:szCs w:val="28"/>
          <w:lang w:val="en-GB"/>
        </w:rPr>
        <w:t xml:space="preserve"> </w:t>
      </w:r>
      <w:r w:rsidR="00176C73" w:rsidRPr="00662BA1">
        <w:rPr>
          <w:rFonts w:ascii="Times New Roman" w:cs="Times New Roman"/>
          <w:szCs w:val="28"/>
          <w:lang w:val="en-GB"/>
        </w:rPr>
        <w:t xml:space="preserve">Where a number of acts of a similar nature committed by one or more defendants were connected with one another, in </w:t>
      </w:r>
      <w:r w:rsidR="00910251">
        <w:rPr>
          <w:rFonts w:ascii="Times New Roman" w:cs="Times New Roman"/>
          <w:szCs w:val="28"/>
          <w:lang w:val="en-GB"/>
        </w:rPr>
        <w:t>the</w:t>
      </w:r>
      <w:r w:rsidR="00176C73" w:rsidRPr="00662BA1">
        <w:rPr>
          <w:rFonts w:ascii="Times New Roman" w:cs="Times New Roman"/>
          <w:szCs w:val="28"/>
          <w:lang w:val="en-GB"/>
        </w:rPr>
        <w:t xml:space="preserve"> time and place of the commission or by their common purpose, in such a way that they could fairly be regarded as forming part of the same transaction </w:t>
      </w:r>
      <w:r w:rsidR="00910251">
        <w:rPr>
          <w:rFonts w:ascii="Times New Roman" w:cs="Times New Roman"/>
          <w:szCs w:val="28"/>
          <w:lang w:val="en-GB"/>
        </w:rPr>
        <w:t xml:space="preserve">or </w:t>
      </w:r>
      <w:r w:rsidR="00176C73" w:rsidRPr="00662BA1">
        <w:rPr>
          <w:rFonts w:ascii="Times New Roman" w:cs="Times New Roman"/>
          <w:szCs w:val="28"/>
          <w:lang w:val="en-GB"/>
        </w:rPr>
        <w:t>criminal enterprise, it was</w:t>
      </w:r>
      <w:r w:rsidRPr="00662BA1">
        <w:rPr>
          <w:rFonts w:ascii="Times New Roman" w:cs="Times New Roman"/>
          <w:szCs w:val="28"/>
          <w:lang w:val="en-GB"/>
        </w:rPr>
        <w:t xml:space="preserve"> practice, as early as the 18</w:t>
      </w:r>
      <w:r w:rsidRPr="00662BA1">
        <w:rPr>
          <w:rFonts w:ascii="Times New Roman" w:cs="Times New Roman"/>
          <w:szCs w:val="28"/>
          <w:vertAlign w:val="superscript"/>
          <w:lang w:val="en-GB"/>
        </w:rPr>
        <w:t>th</w:t>
      </w:r>
      <w:r w:rsidRPr="00662BA1">
        <w:rPr>
          <w:rFonts w:ascii="Times New Roman" w:cs="Times New Roman"/>
          <w:szCs w:val="28"/>
          <w:lang w:val="en-GB"/>
        </w:rPr>
        <w:t> </w:t>
      </w:r>
      <w:r w:rsidR="00176C73" w:rsidRPr="00662BA1">
        <w:rPr>
          <w:rFonts w:ascii="Times New Roman" w:cs="Times New Roman"/>
          <w:szCs w:val="28"/>
          <w:lang w:val="en-GB"/>
        </w:rPr>
        <w:t xml:space="preserve">century, to charge them in a </w:t>
      </w:r>
      <w:r w:rsidRPr="00662BA1">
        <w:rPr>
          <w:rFonts w:ascii="Times New Roman" w:cs="Times New Roman"/>
          <w:szCs w:val="28"/>
          <w:lang w:val="en-GB"/>
        </w:rPr>
        <w:t>single count of an indictment.”</w:t>
      </w:r>
    </w:p>
    <w:p w:rsidR="009619ED" w:rsidRPr="00662BA1" w:rsidRDefault="009619ED" w:rsidP="009619ED">
      <w:pPr>
        <w:pStyle w:val="Default"/>
        <w:tabs>
          <w:tab w:val="left" w:pos="2074"/>
        </w:tabs>
        <w:autoSpaceDE/>
        <w:autoSpaceDN/>
        <w:adjustRightInd/>
        <w:spacing w:line="80" w:lineRule="exact"/>
        <w:ind w:left="1454" w:right="835" w:hanging="187"/>
        <w:jc w:val="both"/>
        <w:rPr>
          <w:rFonts w:ascii="Times New Roman" w:cs="Times New Roman"/>
          <w:szCs w:val="28"/>
          <w:lang w:val="en-GB"/>
        </w:rPr>
      </w:pPr>
    </w:p>
    <w:p w:rsidR="00176C73" w:rsidRPr="00662BA1" w:rsidRDefault="00176C73" w:rsidP="009619ED">
      <w:pPr>
        <w:pStyle w:val="Default"/>
        <w:tabs>
          <w:tab w:val="left" w:pos="2074"/>
        </w:tabs>
        <w:autoSpaceDE/>
        <w:autoSpaceDN/>
        <w:adjustRightInd/>
        <w:spacing w:line="80" w:lineRule="exact"/>
        <w:ind w:left="1454" w:right="835" w:hanging="187"/>
        <w:jc w:val="both"/>
        <w:rPr>
          <w:rFonts w:ascii="Times New Roman" w:cs="Times New Roman"/>
          <w:szCs w:val="28"/>
          <w:lang w:val="en-GB"/>
        </w:rPr>
      </w:pPr>
    </w:p>
    <w:p w:rsidR="000F5060" w:rsidRDefault="00052537" w:rsidP="000122AE">
      <w:pPr>
        <w:pStyle w:val="Default"/>
        <w:tabs>
          <w:tab w:val="left" w:pos="1440"/>
          <w:tab w:val="left" w:pos="2074"/>
        </w:tabs>
        <w:autoSpaceDE/>
        <w:autoSpaceDN/>
        <w:adjustRightInd/>
        <w:spacing w:before="360" w:line="360" w:lineRule="auto"/>
        <w:jc w:val="both"/>
        <w:rPr>
          <w:rFonts w:ascii="Times New Roman" w:eastAsia="PMingLiU" w:cs="Times New Roman"/>
          <w:sz w:val="28"/>
          <w:szCs w:val="28"/>
          <w:lang w:eastAsia="zh-TW"/>
        </w:rPr>
      </w:pPr>
      <w:r w:rsidRPr="00662BA1">
        <w:rPr>
          <w:rFonts w:ascii="Times New Roman" w:eastAsia="宋体" w:cs="Times New Roman"/>
          <w:color w:val="auto"/>
          <w:sz w:val="28"/>
          <w:szCs w:val="28"/>
          <w:lang w:val="en-GB"/>
        </w:rPr>
        <w:fldChar w:fldCharType="begin"/>
      </w:r>
      <w:r w:rsidR="009619ED" w:rsidRPr="00662BA1">
        <w:rPr>
          <w:rFonts w:ascii="Times New Roman" w:eastAsia="宋体" w:cs="Times New Roman"/>
          <w:color w:val="auto"/>
          <w:sz w:val="28"/>
          <w:szCs w:val="28"/>
          <w:lang w:val="en-GB"/>
        </w:rPr>
        <w:instrText xml:space="preserve"> AUTONUMOUT  </w:instrText>
      </w:r>
      <w:r w:rsidRPr="00662BA1">
        <w:rPr>
          <w:rFonts w:ascii="Times New Roman" w:eastAsia="宋体" w:cs="Times New Roman"/>
          <w:color w:val="auto"/>
          <w:sz w:val="28"/>
          <w:szCs w:val="28"/>
          <w:lang w:val="en-GB"/>
        </w:rPr>
        <w:fldChar w:fldCharType="end"/>
      </w:r>
      <w:r w:rsidR="009619ED" w:rsidRPr="00662BA1">
        <w:rPr>
          <w:rFonts w:ascii="Times New Roman" w:eastAsia="宋体" w:cs="Times New Roman"/>
          <w:color w:val="auto"/>
          <w:sz w:val="28"/>
          <w:szCs w:val="28"/>
          <w:lang w:val="en-GB"/>
        </w:rPr>
        <w:tab/>
      </w:r>
      <w:r w:rsidR="00176C73" w:rsidRPr="00662BA1">
        <w:rPr>
          <w:rFonts w:ascii="Times New Roman" w:cs="Times New Roman"/>
          <w:sz w:val="28"/>
          <w:szCs w:val="28"/>
        </w:rPr>
        <w:t>In the Common Law, two exceptions were developed which permitted the bringing of a single count even though the offending activity occurred on two or more occasions, namely cases of a general deficiency and those which constituted a continuous offence.</w:t>
      </w:r>
    </w:p>
    <w:p w:rsidR="000F5060" w:rsidRPr="000F5060" w:rsidRDefault="00052537" w:rsidP="000F5060">
      <w:pPr>
        <w:pStyle w:val="Default"/>
        <w:tabs>
          <w:tab w:val="left" w:pos="1440"/>
          <w:tab w:val="left" w:pos="2074"/>
        </w:tabs>
        <w:autoSpaceDE/>
        <w:autoSpaceDN/>
        <w:adjustRightInd/>
        <w:spacing w:before="360" w:line="360" w:lineRule="auto"/>
        <w:jc w:val="both"/>
        <w:rPr>
          <w:rFonts w:ascii="Times New Roman" w:cs="Times New Roman"/>
          <w:sz w:val="28"/>
          <w:szCs w:val="28"/>
        </w:rPr>
      </w:pPr>
      <w:r>
        <w:rPr>
          <w:rFonts w:ascii="Times New Roman" w:eastAsia="宋体" w:cs="Times New Roman"/>
          <w:color w:val="auto"/>
          <w:sz w:val="28"/>
          <w:szCs w:val="28"/>
          <w:lang w:eastAsia="zh-TW"/>
        </w:rPr>
        <w:fldChar w:fldCharType="begin"/>
      </w:r>
      <w:r w:rsidR="000F5060">
        <w:rPr>
          <w:rFonts w:ascii="Times New Roman" w:eastAsia="宋体" w:cs="Times New Roman"/>
          <w:color w:val="auto"/>
          <w:sz w:val="28"/>
          <w:szCs w:val="28"/>
          <w:lang w:eastAsia="zh-TW"/>
        </w:rPr>
        <w:instrText xml:space="preserve"> </w:instrText>
      </w:r>
      <w:r w:rsidR="000F5060">
        <w:rPr>
          <w:rFonts w:ascii="Times New Roman" w:eastAsia="宋体" w:cs="Times New Roman" w:hint="eastAsia"/>
          <w:color w:val="auto"/>
          <w:sz w:val="28"/>
          <w:szCs w:val="28"/>
          <w:lang w:eastAsia="zh-TW"/>
        </w:rPr>
        <w:instrText xml:space="preserve">AUTONUMOUT </w:instrText>
      </w:r>
      <w:r w:rsidR="000F5060">
        <w:rPr>
          <w:rFonts w:ascii="Times New Roman" w:eastAsia="宋体" w:cs="Times New Roman"/>
          <w:color w:val="auto"/>
          <w:sz w:val="28"/>
          <w:szCs w:val="28"/>
          <w:lang w:eastAsia="zh-TW"/>
        </w:rPr>
        <w:instrText xml:space="preserve"> </w:instrText>
      </w:r>
      <w:r>
        <w:rPr>
          <w:rFonts w:ascii="Times New Roman" w:eastAsia="宋体" w:cs="Times New Roman"/>
          <w:color w:val="auto"/>
          <w:sz w:val="28"/>
          <w:szCs w:val="28"/>
          <w:lang w:eastAsia="zh-TW"/>
        </w:rPr>
        <w:fldChar w:fldCharType="end"/>
      </w:r>
      <w:r w:rsidR="000F5060">
        <w:rPr>
          <w:rFonts w:ascii="Times New Roman" w:eastAsia="宋体" w:cs="Times New Roman"/>
          <w:color w:val="auto"/>
          <w:sz w:val="28"/>
          <w:szCs w:val="28"/>
          <w:lang w:eastAsia="zh-TW"/>
        </w:rPr>
        <w:tab/>
      </w:r>
      <w:r w:rsidR="000F5060">
        <w:rPr>
          <w:rFonts w:ascii="Times New Roman" w:eastAsia="PMingLiU" w:cs="Times New Roman" w:hint="eastAsia"/>
          <w:color w:val="auto"/>
          <w:sz w:val="28"/>
          <w:szCs w:val="28"/>
          <w:lang w:eastAsia="zh-TW"/>
        </w:rPr>
        <w:t>In the judgment of this C</w:t>
      </w:r>
      <w:r w:rsidR="00910251">
        <w:rPr>
          <w:rFonts w:ascii="Times New Roman" w:eastAsia="PMingLiU" w:cs="Times New Roman"/>
          <w:color w:val="auto"/>
          <w:sz w:val="28"/>
          <w:szCs w:val="28"/>
          <w:lang w:eastAsia="zh-TW"/>
        </w:rPr>
        <w:t>o</w:t>
      </w:r>
      <w:r w:rsidR="000F5060">
        <w:rPr>
          <w:rFonts w:ascii="Times New Roman" w:eastAsia="PMingLiU" w:cs="Times New Roman" w:hint="eastAsia"/>
          <w:color w:val="auto"/>
          <w:sz w:val="28"/>
          <w:szCs w:val="28"/>
          <w:lang w:eastAsia="zh-TW"/>
        </w:rPr>
        <w:t xml:space="preserve">urt in </w:t>
      </w:r>
      <w:r w:rsidR="000F5060" w:rsidRPr="000F5060">
        <w:rPr>
          <w:rFonts w:ascii="Times New Roman" w:cs="Times New Roman"/>
          <w:i/>
          <w:sz w:val="28"/>
          <w:szCs w:val="28"/>
        </w:rPr>
        <w:t xml:space="preserve">HKSAR v </w:t>
      </w:r>
      <w:proofErr w:type="spellStart"/>
      <w:r w:rsidR="000F5060" w:rsidRPr="000F5060">
        <w:rPr>
          <w:rFonts w:ascii="Times New Roman" w:cs="Times New Roman"/>
          <w:i/>
          <w:sz w:val="28"/>
          <w:szCs w:val="28"/>
        </w:rPr>
        <w:t>Salim</w:t>
      </w:r>
      <w:proofErr w:type="spellEnd"/>
      <w:r w:rsidR="000F5060">
        <w:rPr>
          <w:rStyle w:val="FootnoteReference"/>
          <w:rFonts w:ascii="Times New Roman" w:eastAsia="PMingLiU" w:cs="Times New Roman"/>
          <w:color w:val="auto"/>
          <w:sz w:val="28"/>
          <w:szCs w:val="28"/>
          <w:lang w:eastAsia="zh-TW"/>
        </w:rPr>
        <w:footnoteReference w:id="43"/>
      </w:r>
      <w:r w:rsidR="000F5060">
        <w:rPr>
          <w:rFonts w:ascii="Times New Roman" w:eastAsia="PMingLiU" w:cs="Times New Roman" w:hint="eastAsia"/>
          <w:color w:val="auto"/>
          <w:sz w:val="28"/>
          <w:szCs w:val="28"/>
          <w:lang w:eastAsia="zh-TW"/>
        </w:rPr>
        <w:t xml:space="preserve">, </w:t>
      </w:r>
      <w:proofErr w:type="spellStart"/>
      <w:r w:rsidR="000F5060">
        <w:rPr>
          <w:rFonts w:ascii="Times New Roman" w:eastAsia="PMingLiU" w:cs="Times New Roman" w:hint="eastAsia"/>
          <w:color w:val="auto"/>
          <w:sz w:val="28"/>
          <w:szCs w:val="28"/>
          <w:lang w:eastAsia="zh-TW"/>
        </w:rPr>
        <w:t>McWalters</w:t>
      </w:r>
      <w:proofErr w:type="spellEnd"/>
      <w:r w:rsidR="000F5060">
        <w:rPr>
          <w:rFonts w:ascii="Times New Roman" w:eastAsia="PMingLiU" w:cs="Times New Roman" w:hint="eastAsia"/>
          <w:color w:val="auto"/>
          <w:sz w:val="28"/>
          <w:szCs w:val="28"/>
          <w:lang w:eastAsia="zh-TW"/>
        </w:rPr>
        <w:t> JA considered</w:t>
      </w:r>
      <w:r w:rsidR="00176C73" w:rsidRPr="00662BA1">
        <w:rPr>
          <w:rFonts w:ascii="Times New Roman" w:cs="Times New Roman"/>
          <w:sz w:val="28"/>
          <w:szCs w:val="28"/>
        </w:rPr>
        <w:t xml:space="preserve"> the applicability of the principle identified in </w:t>
      </w:r>
      <w:r w:rsidR="00176C73" w:rsidRPr="00662BA1">
        <w:rPr>
          <w:rFonts w:ascii="Times New Roman" w:cs="Times New Roman"/>
          <w:i/>
          <w:sz w:val="28"/>
          <w:szCs w:val="28"/>
        </w:rPr>
        <w:t>Merriman</w:t>
      </w:r>
      <w:r w:rsidR="00176C73" w:rsidRPr="00662BA1">
        <w:rPr>
          <w:rFonts w:ascii="Times New Roman" w:cs="Times New Roman"/>
          <w:sz w:val="28"/>
          <w:szCs w:val="28"/>
        </w:rPr>
        <w:t xml:space="preserve">, and the two exceptions to it, in the context of charges of ‘money laundering’ by deposits into various bank accounts. </w:t>
      </w:r>
      <w:r w:rsidR="000122AE" w:rsidRPr="00662BA1">
        <w:rPr>
          <w:rFonts w:ascii="Times New Roman" w:cs="Times New Roman"/>
          <w:sz w:val="28"/>
          <w:szCs w:val="28"/>
        </w:rPr>
        <w:t xml:space="preserve"> </w:t>
      </w:r>
      <w:r w:rsidR="00176C73" w:rsidRPr="00662BA1">
        <w:rPr>
          <w:rFonts w:ascii="Times New Roman" w:cs="Times New Roman"/>
          <w:sz w:val="28"/>
          <w:szCs w:val="28"/>
        </w:rPr>
        <w:t>On 10 February 2015 the Appeal Committee of the Court of Final Appeal granted the prosecution leave to appeal on the points of law of great and general importance certified by this Court.</w:t>
      </w:r>
      <w:r w:rsidR="000F5060">
        <w:rPr>
          <w:rStyle w:val="FootnoteReference"/>
          <w:rFonts w:ascii="Times New Roman" w:cs="Times New Roman"/>
          <w:sz w:val="28"/>
          <w:szCs w:val="28"/>
        </w:rPr>
        <w:footnoteReference w:id="44"/>
      </w:r>
    </w:p>
    <w:p w:rsidR="00176C73" w:rsidRPr="00662BA1" w:rsidRDefault="00052537" w:rsidP="000122AE">
      <w:pPr>
        <w:pStyle w:val="Default"/>
        <w:tabs>
          <w:tab w:val="left" w:pos="1440"/>
          <w:tab w:val="left" w:pos="2074"/>
        </w:tabs>
        <w:autoSpaceDE/>
        <w:autoSpaceDN/>
        <w:adjustRightInd/>
        <w:spacing w:before="360" w:line="360" w:lineRule="auto"/>
        <w:jc w:val="both"/>
        <w:rPr>
          <w:rFonts w:ascii="Times New Roman" w:cs="Times New Roman"/>
          <w:sz w:val="28"/>
          <w:szCs w:val="28"/>
        </w:rPr>
      </w:pPr>
      <w:r w:rsidRPr="00662BA1">
        <w:rPr>
          <w:rFonts w:ascii="Times New Roman" w:eastAsia="宋体" w:cs="Times New Roman"/>
          <w:color w:val="auto"/>
          <w:sz w:val="28"/>
          <w:szCs w:val="28"/>
        </w:rPr>
        <w:fldChar w:fldCharType="begin"/>
      </w:r>
      <w:r w:rsidR="000122AE" w:rsidRPr="00662BA1">
        <w:rPr>
          <w:rFonts w:ascii="Times New Roman" w:eastAsia="宋体" w:cs="Times New Roman"/>
          <w:color w:val="auto"/>
          <w:sz w:val="28"/>
          <w:szCs w:val="28"/>
        </w:rPr>
        <w:instrText xml:space="preserve"> AUTONUMOUT  </w:instrText>
      </w:r>
      <w:r w:rsidRPr="00662BA1">
        <w:rPr>
          <w:rFonts w:ascii="Times New Roman" w:eastAsia="宋体" w:cs="Times New Roman"/>
          <w:color w:val="auto"/>
          <w:sz w:val="28"/>
          <w:szCs w:val="28"/>
        </w:rPr>
        <w:fldChar w:fldCharType="end"/>
      </w:r>
      <w:r w:rsidR="000122AE" w:rsidRPr="00662BA1">
        <w:rPr>
          <w:rFonts w:ascii="Times New Roman" w:eastAsia="宋体" w:cs="Times New Roman"/>
          <w:color w:val="auto"/>
          <w:sz w:val="28"/>
          <w:szCs w:val="28"/>
        </w:rPr>
        <w:tab/>
      </w:r>
      <w:r w:rsidR="00176C73" w:rsidRPr="00662BA1">
        <w:rPr>
          <w:rFonts w:ascii="Times New Roman" w:cs="Times New Roman"/>
          <w:sz w:val="28"/>
          <w:szCs w:val="28"/>
        </w:rPr>
        <w:t>The prosecution case was that the aggregate of deposits made in the bank accounts, opened separately by the two applicants respectively, were the monies with which they ha</w:t>
      </w:r>
      <w:r w:rsidR="008B4239" w:rsidRPr="00662BA1">
        <w:rPr>
          <w:rFonts w:ascii="Times New Roman" w:cs="Times New Roman"/>
          <w:sz w:val="28"/>
          <w:szCs w:val="28"/>
        </w:rPr>
        <w:t>d dealt, contrary to section 25</w:t>
      </w:r>
      <w:r w:rsidR="00176C73" w:rsidRPr="00662BA1">
        <w:rPr>
          <w:rFonts w:ascii="Times New Roman" w:cs="Times New Roman"/>
          <w:sz w:val="28"/>
          <w:szCs w:val="28"/>
        </w:rPr>
        <w:t>(1) of the Organized an</w:t>
      </w:r>
      <w:r w:rsidR="008B4239" w:rsidRPr="00662BA1">
        <w:rPr>
          <w:rFonts w:ascii="Times New Roman" w:cs="Times New Roman"/>
          <w:sz w:val="28"/>
          <w:szCs w:val="28"/>
        </w:rPr>
        <w:t>d Serious Crimes Ordinance, Cap. </w:t>
      </w:r>
      <w:r w:rsidR="00176C73" w:rsidRPr="00662BA1">
        <w:rPr>
          <w:rFonts w:ascii="Times New Roman" w:cs="Times New Roman"/>
          <w:sz w:val="28"/>
          <w:szCs w:val="28"/>
        </w:rPr>
        <w:t xml:space="preserve">455. </w:t>
      </w:r>
      <w:r w:rsidR="008B4239" w:rsidRPr="00662BA1">
        <w:rPr>
          <w:rFonts w:ascii="Times New Roman" w:cs="Times New Roman"/>
          <w:sz w:val="28"/>
          <w:szCs w:val="28"/>
        </w:rPr>
        <w:t xml:space="preserve"> </w:t>
      </w:r>
      <w:r w:rsidR="00176C73" w:rsidRPr="00662BA1">
        <w:rPr>
          <w:rFonts w:ascii="Times New Roman" w:cs="Times New Roman"/>
          <w:sz w:val="28"/>
          <w:szCs w:val="28"/>
        </w:rPr>
        <w:t xml:space="preserve">Of their criminal conduct, </w:t>
      </w:r>
      <w:proofErr w:type="spellStart"/>
      <w:r w:rsidR="00176C73" w:rsidRPr="00662BA1">
        <w:rPr>
          <w:rFonts w:ascii="Times New Roman" w:cs="Times New Roman"/>
          <w:sz w:val="28"/>
          <w:szCs w:val="28"/>
        </w:rPr>
        <w:t>McWalters</w:t>
      </w:r>
      <w:proofErr w:type="spellEnd"/>
      <w:r w:rsidR="00176C73" w:rsidRPr="00662BA1">
        <w:rPr>
          <w:rFonts w:ascii="Times New Roman" w:cs="Times New Roman"/>
          <w:sz w:val="28"/>
          <w:szCs w:val="28"/>
        </w:rPr>
        <w:t xml:space="preserve"> JA said:</w:t>
      </w:r>
      <w:r w:rsidR="00176C73" w:rsidRPr="00662BA1">
        <w:rPr>
          <w:rStyle w:val="FootnoteReference"/>
          <w:rFonts w:ascii="Times New Roman" w:cs="Times New Roman"/>
          <w:sz w:val="28"/>
          <w:szCs w:val="28"/>
        </w:rPr>
        <w:footnoteReference w:id="45"/>
      </w:r>
    </w:p>
    <w:p w:rsidR="00176C73" w:rsidRPr="00662BA1" w:rsidRDefault="008B4239" w:rsidP="008B4239">
      <w:pPr>
        <w:pStyle w:val="para"/>
        <w:numPr>
          <w:ilvl w:val="0"/>
          <w:numId w:val="0"/>
        </w:numPr>
        <w:spacing w:before="120" w:after="120" w:line="240" w:lineRule="auto"/>
        <w:ind w:left="1440" w:right="836" w:hanging="187"/>
        <w:contextualSpacing/>
        <w:rPr>
          <w:sz w:val="24"/>
          <w:szCs w:val="24"/>
        </w:rPr>
      </w:pPr>
      <w:r w:rsidRPr="00662BA1">
        <w:rPr>
          <w:sz w:val="24"/>
          <w:szCs w:val="24"/>
        </w:rPr>
        <w:t>“</w:t>
      </w:r>
      <w:r w:rsidRPr="00662BA1">
        <w:rPr>
          <w:sz w:val="24"/>
          <w:szCs w:val="24"/>
        </w:rPr>
        <w:tab/>
      </w:r>
      <w:r w:rsidR="00176C73" w:rsidRPr="00662BA1">
        <w:rPr>
          <w:sz w:val="24"/>
          <w:szCs w:val="24"/>
        </w:rPr>
        <w:t xml:space="preserve">Here, the conduct of the applicant is the aiding and abetting of the principal offenders to deal with property whilst possessed of a certain </w:t>
      </w:r>
      <w:proofErr w:type="spellStart"/>
      <w:r w:rsidR="00176C73" w:rsidRPr="00662BA1">
        <w:rPr>
          <w:i/>
          <w:sz w:val="24"/>
          <w:szCs w:val="24"/>
        </w:rPr>
        <w:t>mens</w:t>
      </w:r>
      <w:proofErr w:type="spellEnd"/>
      <w:r w:rsidR="00176C73" w:rsidRPr="00662BA1">
        <w:rPr>
          <w:i/>
          <w:sz w:val="24"/>
          <w:szCs w:val="24"/>
        </w:rPr>
        <w:t xml:space="preserve"> </w:t>
      </w:r>
      <w:proofErr w:type="spellStart"/>
      <w:r w:rsidR="00176C73" w:rsidRPr="00662BA1">
        <w:rPr>
          <w:i/>
          <w:sz w:val="24"/>
          <w:szCs w:val="24"/>
        </w:rPr>
        <w:t>rea</w:t>
      </w:r>
      <w:proofErr w:type="spellEnd"/>
      <w:r w:rsidR="00176C73" w:rsidRPr="00662BA1">
        <w:rPr>
          <w:i/>
          <w:sz w:val="24"/>
          <w:szCs w:val="24"/>
        </w:rPr>
        <w:t xml:space="preserve"> </w:t>
      </w:r>
      <w:r w:rsidR="00176C73" w:rsidRPr="00662BA1">
        <w:rPr>
          <w:sz w:val="24"/>
          <w:szCs w:val="24"/>
        </w:rPr>
        <w:t>in respect of that property.  However, there is no evidence that the applicants knew what kind of dealings would take place in relation to the accounts or the source of the monies that made up those dealings or how or in what circumstances those monies had been obtained.  The prosecution case was essentially as follows:</w:t>
      </w:r>
    </w:p>
    <w:p w:rsidR="00176C73" w:rsidRPr="00662BA1" w:rsidRDefault="00176C73" w:rsidP="00DC25D9">
      <w:pPr>
        <w:pStyle w:val="points"/>
        <w:numPr>
          <w:ilvl w:val="0"/>
          <w:numId w:val="5"/>
        </w:numPr>
        <w:tabs>
          <w:tab w:val="clear" w:pos="1400"/>
          <w:tab w:val="left" w:pos="2520"/>
        </w:tabs>
        <w:spacing w:before="240" w:line="240" w:lineRule="auto"/>
        <w:ind w:left="2534" w:right="836" w:hanging="547"/>
        <w:rPr>
          <w:sz w:val="24"/>
          <w:szCs w:val="24"/>
        </w:rPr>
      </w:pPr>
      <w:proofErr w:type="gramStart"/>
      <w:r w:rsidRPr="00662BA1">
        <w:rPr>
          <w:sz w:val="24"/>
          <w:szCs w:val="24"/>
        </w:rPr>
        <w:t>by</w:t>
      </w:r>
      <w:proofErr w:type="gramEnd"/>
      <w:r w:rsidRPr="00662BA1">
        <w:rPr>
          <w:sz w:val="24"/>
          <w:szCs w:val="24"/>
        </w:rPr>
        <w:t xml:space="preserve"> opening bank accounts for others to use the applicants must have known that those accounts would be used for the purpose of dealing with property.  That is the </w:t>
      </w:r>
      <w:proofErr w:type="spellStart"/>
      <w:r w:rsidRPr="00662BA1">
        <w:rPr>
          <w:i/>
          <w:sz w:val="24"/>
          <w:szCs w:val="24"/>
        </w:rPr>
        <w:t>actus</w:t>
      </w:r>
      <w:proofErr w:type="spellEnd"/>
      <w:r w:rsidRPr="00662BA1">
        <w:rPr>
          <w:i/>
          <w:sz w:val="24"/>
          <w:szCs w:val="24"/>
        </w:rPr>
        <w:t xml:space="preserve"> </w:t>
      </w:r>
      <w:proofErr w:type="spellStart"/>
      <w:r w:rsidRPr="00662BA1">
        <w:rPr>
          <w:i/>
          <w:sz w:val="24"/>
          <w:szCs w:val="24"/>
        </w:rPr>
        <w:t>reus</w:t>
      </w:r>
      <w:proofErr w:type="spellEnd"/>
      <w:r w:rsidRPr="00662BA1">
        <w:rPr>
          <w:sz w:val="24"/>
          <w:szCs w:val="24"/>
        </w:rPr>
        <w:t xml:space="preserve"> of the offence; and</w:t>
      </w:r>
    </w:p>
    <w:p w:rsidR="00176C73" w:rsidRPr="00662BA1" w:rsidRDefault="00176C73" w:rsidP="00DC25D9">
      <w:pPr>
        <w:pStyle w:val="points"/>
        <w:numPr>
          <w:ilvl w:val="0"/>
          <w:numId w:val="5"/>
        </w:numPr>
        <w:tabs>
          <w:tab w:val="clear" w:pos="1400"/>
          <w:tab w:val="left" w:pos="2520"/>
        </w:tabs>
        <w:spacing w:before="240" w:line="240" w:lineRule="auto"/>
        <w:ind w:left="2534" w:right="836" w:hanging="547"/>
        <w:rPr>
          <w:sz w:val="24"/>
          <w:szCs w:val="24"/>
        </w:rPr>
      </w:pPr>
      <w:proofErr w:type="gramStart"/>
      <w:r w:rsidRPr="00662BA1">
        <w:rPr>
          <w:sz w:val="24"/>
          <w:szCs w:val="24"/>
        </w:rPr>
        <w:t>from</w:t>
      </w:r>
      <w:proofErr w:type="gramEnd"/>
      <w:r w:rsidRPr="00662BA1">
        <w:rPr>
          <w:sz w:val="24"/>
          <w:szCs w:val="24"/>
        </w:rPr>
        <w:t xml:space="preserve"> the conduct of the applicants in travelling to a foreign jurisdiction solely for the purpose of opening bank accounts for others to operate, the </w:t>
      </w:r>
      <w:proofErr w:type="spellStart"/>
      <w:r w:rsidRPr="00662BA1">
        <w:rPr>
          <w:i/>
          <w:sz w:val="24"/>
          <w:szCs w:val="24"/>
        </w:rPr>
        <w:t>mens</w:t>
      </w:r>
      <w:proofErr w:type="spellEnd"/>
      <w:r w:rsidRPr="00662BA1">
        <w:rPr>
          <w:i/>
          <w:sz w:val="24"/>
          <w:szCs w:val="24"/>
        </w:rPr>
        <w:t xml:space="preserve"> </w:t>
      </w:r>
      <w:proofErr w:type="spellStart"/>
      <w:r w:rsidRPr="00662BA1">
        <w:rPr>
          <w:i/>
          <w:sz w:val="24"/>
          <w:szCs w:val="24"/>
        </w:rPr>
        <w:t>rea</w:t>
      </w:r>
      <w:proofErr w:type="spellEnd"/>
      <w:r w:rsidRPr="00662BA1">
        <w:rPr>
          <w:sz w:val="24"/>
          <w:szCs w:val="24"/>
        </w:rPr>
        <w:t xml:space="preserve"> element of having reasonable grounds to believe that these dealings would involve property that was the proceeds of an indictable offence is proven.</w:t>
      </w:r>
    </w:p>
    <w:p w:rsidR="008B4239" w:rsidRPr="00662BA1" w:rsidRDefault="00176C73" w:rsidP="008B4239">
      <w:pPr>
        <w:pStyle w:val="PARA-CONT"/>
        <w:spacing w:before="120" w:after="120" w:line="240" w:lineRule="auto"/>
        <w:ind w:left="1440" w:right="836"/>
        <w:contextualSpacing/>
        <w:rPr>
          <w:sz w:val="24"/>
          <w:szCs w:val="24"/>
        </w:rPr>
      </w:pPr>
      <w:r w:rsidRPr="00662BA1">
        <w:rPr>
          <w:sz w:val="24"/>
          <w:szCs w:val="24"/>
        </w:rPr>
        <w:t xml:space="preserve">The prosecution presented its case as though the charge was a conspiracy to money launder.  But, it was not.  On this Charge Sheet each offence is a substantive offence and </w:t>
      </w:r>
      <w:proofErr w:type="gramStart"/>
      <w:r w:rsidRPr="00662BA1">
        <w:rPr>
          <w:sz w:val="24"/>
          <w:szCs w:val="24"/>
        </w:rPr>
        <w:t>in respect of each dealing</w:t>
      </w:r>
      <w:proofErr w:type="gramEnd"/>
      <w:r w:rsidRPr="00662BA1">
        <w:rPr>
          <w:sz w:val="24"/>
          <w:szCs w:val="24"/>
        </w:rPr>
        <w:t xml:space="preserve"> the </w:t>
      </w:r>
      <w:proofErr w:type="spellStart"/>
      <w:r w:rsidRPr="00662BA1">
        <w:rPr>
          <w:i/>
          <w:sz w:val="24"/>
          <w:szCs w:val="24"/>
        </w:rPr>
        <w:t>mens</w:t>
      </w:r>
      <w:proofErr w:type="spellEnd"/>
      <w:r w:rsidRPr="00662BA1">
        <w:rPr>
          <w:i/>
          <w:sz w:val="24"/>
          <w:szCs w:val="24"/>
        </w:rPr>
        <w:t xml:space="preserve"> </w:t>
      </w:r>
      <w:proofErr w:type="spellStart"/>
      <w:r w:rsidRPr="00662BA1">
        <w:rPr>
          <w:i/>
          <w:sz w:val="24"/>
          <w:szCs w:val="24"/>
        </w:rPr>
        <w:t>rea</w:t>
      </w:r>
      <w:proofErr w:type="spellEnd"/>
      <w:r w:rsidRPr="00662BA1">
        <w:rPr>
          <w:sz w:val="24"/>
          <w:szCs w:val="24"/>
        </w:rPr>
        <w:t xml:space="preserve"> element must be proven.</w:t>
      </w:r>
    </w:p>
    <w:p w:rsidR="008B4239" w:rsidRPr="00662BA1" w:rsidRDefault="008B4239" w:rsidP="008B4239">
      <w:pPr>
        <w:pStyle w:val="PARA-CONT"/>
        <w:spacing w:before="120" w:after="120" w:line="240" w:lineRule="auto"/>
        <w:ind w:left="1440" w:right="836"/>
        <w:contextualSpacing/>
        <w:rPr>
          <w:sz w:val="24"/>
          <w:szCs w:val="24"/>
        </w:rPr>
      </w:pPr>
    </w:p>
    <w:p w:rsidR="008B4239" w:rsidRPr="00662BA1" w:rsidRDefault="00176C73" w:rsidP="008B4239">
      <w:pPr>
        <w:pStyle w:val="PARA-CONT"/>
        <w:spacing w:before="120" w:after="120" w:line="240" w:lineRule="auto"/>
        <w:ind w:left="1440" w:right="836"/>
        <w:contextualSpacing/>
        <w:rPr>
          <w:sz w:val="24"/>
          <w:szCs w:val="24"/>
        </w:rPr>
      </w:pPr>
      <w:r w:rsidRPr="00662BA1">
        <w:rPr>
          <w:sz w:val="24"/>
          <w:szCs w:val="24"/>
        </w:rPr>
        <w:t xml:space="preserve">Here, the actual form </w:t>
      </w:r>
      <w:proofErr w:type="gramStart"/>
      <w:r w:rsidRPr="00662BA1">
        <w:rPr>
          <w:sz w:val="24"/>
          <w:szCs w:val="24"/>
        </w:rPr>
        <w:t>of each dealing</w:t>
      </w:r>
      <w:proofErr w:type="gramEnd"/>
      <w:r w:rsidRPr="00662BA1">
        <w:rPr>
          <w:sz w:val="24"/>
          <w:szCs w:val="24"/>
        </w:rPr>
        <w:t xml:space="preserve"> is the receipt of monies.  No act by the unknown principal offenders is relied upon in relation to the accounts; their actions take place beforehand when by fraudulent representations held out to various victims, those victims are induced to deposit monies into the accounts.  There is no positive act of dealing by the unknown principal offenders.  They simply wait</w:t>
      </w:r>
      <w:r w:rsidR="008B4239" w:rsidRPr="00662BA1">
        <w:rPr>
          <w:sz w:val="24"/>
          <w:szCs w:val="24"/>
        </w:rPr>
        <w:t xml:space="preserve"> for the money to be deposited.”</w:t>
      </w:r>
    </w:p>
    <w:p w:rsidR="008B4239" w:rsidRPr="00662BA1" w:rsidRDefault="008B4239" w:rsidP="008B4239">
      <w:pPr>
        <w:pStyle w:val="para"/>
        <w:numPr>
          <w:ilvl w:val="0"/>
          <w:numId w:val="0"/>
        </w:numPr>
        <w:snapToGrid/>
        <w:spacing w:before="0" w:line="80" w:lineRule="exact"/>
        <w:ind w:left="1267" w:right="835"/>
      </w:pPr>
    </w:p>
    <w:p w:rsidR="008756A8" w:rsidRPr="00662BA1" w:rsidRDefault="00052537" w:rsidP="008756A8">
      <w:pPr>
        <w:pStyle w:val="para"/>
        <w:numPr>
          <w:ilvl w:val="0"/>
          <w:numId w:val="0"/>
        </w:numPr>
        <w:tabs>
          <w:tab w:val="left" w:pos="1440"/>
        </w:tabs>
        <w:snapToGrid/>
        <w:spacing w:before="360"/>
        <w:rPr>
          <w:rFonts w:eastAsia="PMingLiU"/>
          <w:lang w:eastAsia="zh-TW"/>
        </w:rPr>
      </w:pPr>
      <w:r w:rsidRPr="00662BA1">
        <w:fldChar w:fldCharType="begin"/>
      </w:r>
      <w:r w:rsidR="008B4239" w:rsidRPr="00662BA1">
        <w:instrText xml:space="preserve"> AUTONUMOUT  </w:instrText>
      </w:r>
      <w:r w:rsidRPr="00662BA1">
        <w:fldChar w:fldCharType="end"/>
      </w:r>
      <w:r w:rsidR="008B4239" w:rsidRPr="00662BA1">
        <w:tab/>
      </w:r>
      <w:r w:rsidR="00176C73" w:rsidRPr="00662BA1">
        <w:rPr>
          <w:szCs w:val="28"/>
        </w:rPr>
        <w:t>Having quashed one</w:t>
      </w:r>
      <w:r w:rsidR="00357264" w:rsidRPr="00662BA1">
        <w:rPr>
          <w:szCs w:val="28"/>
        </w:rPr>
        <w:t xml:space="preserve"> of the counts on which the 2</w:t>
      </w:r>
      <w:r w:rsidR="00357264" w:rsidRPr="00662BA1">
        <w:rPr>
          <w:szCs w:val="28"/>
          <w:vertAlign w:val="superscript"/>
        </w:rPr>
        <w:t>nd</w:t>
      </w:r>
      <w:r w:rsidR="00357264" w:rsidRPr="00662BA1">
        <w:rPr>
          <w:rFonts w:eastAsia="PMingLiU"/>
          <w:szCs w:val="28"/>
          <w:lang w:val="en-US" w:eastAsia="zh-TW"/>
        </w:rPr>
        <w:t> </w:t>
      </w:r>
      <w:r w:rsidR="00176C73" w:rsidRPr="00662BA1">
        <w:rPr>
          <w:szCs w:val="28"/>
        </w:rPr>
        <w:t xml:space="preserve">applicant had been convicted, on the basis that the judge erred in finding ‘dealing’ proved by a withdrawal, not by a deposit of monies, the Court quashed the remaining counts, determining that the judge erred in convicting the applicants on the other counts on the basis that they had aided and abetted another person(s) to deal with the stipulated property. </w:t>
      </w:r>
      <w:r w:rsidR="008756A8" w:rsidRPr="00662BA1">
        <w:rPr>
          <w:rFonts w:eastAsia="PMingLiU" w:hint="eastAsia"/>
          <w:szCs w:val="28"/>
          <w:lang w:eastAsia="zh-TW"/>
        </w:rPr>
        <w:t xml:space="preserve"> </w:t>
      </w:r>
      <w:r w:rsidR="00176C73" w:rsidRPr="00662BA1">
        <w:rPr>
          <w:szCs w:val="28"/>
        </w:rPr>
        <w:t>At no time during the trial had the judge informed the parties that he was considering accessorial liability as an alternative basis of criminal liability, so that the parties had no opportunity to address the Court on that issue.</w:t>
      </w:r>
      <w:r w:rsidR="00176C73" w:rsidRPr="00662BA1">
        <w:rPr>
          <w:rStyle w:val="FootnoteReference"/>
          <w:szCs w:val="28"/>
        </w:rPr>
        <w:footnoteReference w:id="46"/>
      </w:r>
    </w:p>
    <w:p w:rsidR="00176C73" w:rsidRPr="00662BA1" w:rsidRDefault="00052537" w:rsidP="008756A8">
      <w:pPr>
        <w:pStyle w:val="para"/>
        <w:numPr>
          <w:ilvl w:val="0"/>
          <w:numId w:val="0"/>
        </w:numPr>
        <w:tabs>
          <w:tab w:val="left" w:pos="1440"/>
        </w:tabs>
        <w:snapToGrid/>
        <w:spacing w:before="360"/>
      </w:pPr>
      <w:r w:rsidRPr="00662BA1">
        <w:rPr>
          <w:lang w:eastAsia="zh-TW"/>
        </w:rPr>
        <w:fldChar w:fldCharType="begin"/>
      </w:r>
      <w:r w:rsidR="008756A8" w:rsidRPr="00662BA1">
        <w:rPr>
          <w:lang w:eastAsia="zh-TW"/>
        </w:rPr>
        <w:instrText xml:space="preserve"> </w:instrText>
      </w:r>
      <w:r w:rsidR="008756A8" w:rsidRPr="00662BA1">
        <w:rPr>
          <w:rFonts w:hint="eastAsia"/>
          <w:lang w:eastAsia="zh-TW"/>
        </w:rPr>
        <w:instrText xml:space="preserve">AUTONUMOUT </w:instrText>
      </w:r>
      <w:r w:rsidR="008756A8" w:rsidRPr="00662BA1">
        <w:rPr>
          <w:lang w:eastAsia="zh-TW"/>
        </w:rPr>
        <w:instrText xml:space="preserve"> </w:instrText>
      </w:r>
      <w:r w:rsidRPr="00662BA1">
        <w:rPr>
          <w:lang w:eastAsia="zh-TW"/>
        </w:rPr>
        <w:fldChar w:fldCharType="end"/>
      </w:r>
      <w:r w:rsidR="008756A8" w:rsidRPr="00662BA1">
        <w:rPr>
          <w:lang w:eastAsia="zh-TW"/>
        </w:rPr>
        <w:tab/>
      </w:r>
      <w:r w:rsidR="00176C73" w:rsidRPr="00662BA1">
        <w:rPr>
          <w:szCs w:val="28"/>
        </w:rPr>
        <w:t>The issue of whether or not the charges were duplicitous was addressed by this Court in its consideration of whether or not</w:t>
      </w:r>
      <w:r w:rsidR="008756A8" w:rsidRPr="00662BA1">
        <w:rPr>
          <w:szCs w:val="28"/>
        </w:rPr>
        <w:t xml:space="preserve"> to order a re-trial of the 2</w:t>
      </w:r>
      <w:r w:rsidR="008756A8" w:rsidRPr="00662BA1">
        <w:rPr>
          <w:szCs w:val="28"/>
          <w:vertAlign w:val="superscript"/>
        </w:rPr>
        <w:t>nd</w:t>
      </w:r>
      <w:r w:rsidR="008756A8" w:rsidRPr="00662BA1">
        <w:rPr>
          <w:szCs w:val="28"/>
          <w:lang w:val="en-US"/>
        </w:rPr>
        <w:t> </w:t>
      </w:r>
      <w:r w:rsidR="008756A8" w:rsidRPr="00662BA1">
        <w:rPr>
          <w:szCs w:val="28"/>
        </w:rPr>
        <w:t>applicant, the 1</w:t>
      </w:r>
      <w:r w:rsidR="008756A8" w:rsidRPr="00662BA1">
        <w:rPr>
          <w:szCs w:val="28"/>
          <w:vertAlign w:val="superscript"/>
        </w:rPr>
        <w:t>st</w:t>
      </w:r>
      <w:r w:rsidR="008756A8" w:rsidRPr="00662BA1">
        <w:rPr>
          <w:szCs w:val="28"/>
          <w:lang w:val="en-US"/>
        </w:rPr>
        <w:t> </w:t>
      </w:r>
      <w:r w:rsidR="00176C73" w:rsidRPr="00662BA1">
        <w:rPr>
          <w:szCs w:val="28"/>
        </w:rPr>
        <w:t xml:space="preserve">applicant having served his sentence and having been discharged. </w:t>
      </w:r>
      <w:r w:rsidR="008756A8" w:rsidRPr="00662BA1">
        <w:rPr>
          <w:rFonts w:eastAsia="PMingLiU" w:hint="eastAsia"/>
          <w:szCs w:val="28"/>
          <w:lang w:eastAsia="zh-TW"/>
        </w:rPr>
        <w:t xml:space="preserve"> </w:t>
      </w:r>
      <w:r w:rsidR="00176C73" w:rsidRPr="00662BA1">
        <w:rPr>
          <w:szCs w:val="28"/>
        </w:rPr>
        <w:t xml:space="preserve">Having cited the authors of </w:t>
      </w:r>
      <w:proofErr w:type="spellStart"/>
      <w:r w:rsidR="00176C73" w:rsidRPr="00662BA1">
        <w:rPr>
          <w:i/>
          <w:szCs w:val="28"/>
        </w:rPr>
        <w:t>Archbold</w:t>
      </w:r>
      <w:proofErr w:type="spellEnd"/>
      <w:r w:rsidR="00176C73" w:rsidRPr="00662BA1">
        <w:rPr>
          <w:i/>
          <w:szCs w:val="28"/>
        </w:rPr>
        <w:t xml:space="preserve"> Hong Kong </w:t>
      </w:r>
      <w:proofErr w:type="gramStart"/>
      <w:r w:rsidR="00176C73" w:rsidRPr="00EE4952">
        <w:rPr>
          <w:szCs w:val="28"/>
        </w:rPr>
        <w:t>2014</w:t>
      </w:r>
      <w:r w:rsidR="008756A8" w:rsidRPr="00EE4952">
        <w:rPr>
          <w:szCs w:val="28"/>
          <w:lang w:val="en-US"/>
        </w:rPr>
        <w:t> </w:t>
      </w:r>
      <w:proofErr w:type="gramEnd"/>
      <w:r w:rsidR="00176C73" w:rsidRPr="00662BA1">
        <w:rPr>
          <w:rStyle w:val="FootnoteReference"/>
          <w:szCs w:val="28"/>
        </w:rPr>
        <w:footnoteReference w:id="47"/>
      </w:r>
      <w:r w:rsidR="008756A8" w:rsidRPr="00662BA1">
        <w:rPr>
          <w:szCs w:val="28"/>
        </w:rPr>
        <w:t xml:space="preserve">, </w:t>
      </w:r>
      <w:proofErr w:type="spellStart"/>
      <w:r w:rsidR="008756A8" w:rsidRPr="00662BA1">
        <w:rPr>
          <w:szCs w:val="28"/>
        </w:rPr>
        <w:t>McWalters</w:t>
      </w:r>
      <w:proofErr w:type="spellEnd"/>
      <w:r w:rsidR="008756A8" w:rsidRPr="00662BA1">
        <w:rPr>
          <w:szCs w:val="28"/>
          <w:lang w:val="en-US"/>
        </w:rPr>
        <w:t> </w:t>
      </w:r>
      <w:r w:rsidR="008756A8" w:rsidRPr="00662BA1">
        <w:rPr>
          <w:szCs w:val="28"/>
        </w:rPr>
        <w:t xml:space="preserve">JA said that there were </w:t>
      </w:r>
      <w:r w:rsidR="008756A8" w:rsidRPr="00662BA1">
        <w:rPr>
          <w:rFonts w:eastAsia="PMingLiU" w:hint="eastAsia"/>
          <w:szCs w:val="28"/>
          <w:lang w:eastAsia="zh-TW"/>
        </w:rPr>
        <w:t>three</w:t>
      </w:r>
      <w:r w:rsidR="00176C73" w:rsidRPr="00662BA1">
        <w:rPr>
          <w:szCs w:val="28"/>
        </w:rPr>
        <w:t xml:space="preserve"> situations in which a charge based on different criminal acts was permissible:</w:t>
      </w:r>
      <w:r w:rsidR="00176C73" w:rsidRPr="00662BA1">
        <w:rPr>
          <w:rStyle w:val="FootnoteReference"/>
          <w:szCs w:val="28"/>
        </w:rPr>
        <w:footnoteReference w:id="48"/>
      </w:r>
    </w:p>
    <w:p w:rsidR="008756A8" w:rsidRPr="00662BA1" w:rsidRDefault="008756A8" w:rsidP="008756A8">
      <w:pPr>
        <w:pStyle w:val="para"/>
        <w:numPr>
          <w:ilvl w:val="0"/>
          <w:numId w:val="0"/>
        </w:numPr>
        <w:tabs>
          <w:tab w:val="left" w:pos="2074"/>
        </w:tabs>
        <w:snapToGrid/>
        <w:spacing w:before="240" w:line="240" w:lineRule="auto"/>
        <w:ind w:left="1454" w:right="835" w:hanging="187"/>
        <w:rPr>
          <w:rFonts w:eastAsia="PMingLiU"/>
          <w:sz w:val="24"/>
          <w:szCs w:val="24"/>
          <w:lang w:eastAsia="zh-TW"/>
        </w:rPr>
      </w:pPr>
      <w:r w:rsidRPr="00662BA1">
        <w:rPr>
          <w:rFonts w:eastAsia="PMingLiU"/>
          <w:sz w:val="24"/>
          <w:szCs w:val="24"/>
          <w:lang w:eastAsia="zh-TW"/>
        </w:rPr>
        <w:t>“</w:t>
      </w:r>
      <w:r w:rsidRPr="00662BA1">
        <w:rPr>
          <w:rFonts w:eastAsia="PMingLiU"/>
          <w:sz w:val="24"/>
          <w:szCs w:val="24"/>
          <w:lang w:eastAsia="zh-TW"/>
        </w:rPr>
        <w:tab/>
      </w:r>
      <w:r w:rsidR="00176C73" w:rsidRPr="00662BA1">
        <w:rPr>
          <w:sz w:val="24"/>
          <w:szCs w:val="24"/>
        </w:rPr>
        <w:t>The first is where different acts, viewed realistically, form only one transaction……</w:t>
      </w:r>
      <w:proofErr w:type="gramStart"/>
      <w:r w:rsidR="00176C73" w:rsidRPr="00662BA1">
        <w:rPr>
          <w:sz w:val="24"/>
          <w:szCs w:val="24"/>
        </w:rPr>
        <w:t>.(</w:t>
      </w:r>
      <w:proofErr w:type="gramEnd"/>
      <w:r w:rsidR="00176C73" w:rsidRPr="00662BA1">
        <w:rPr>
          <w:sz w:val="24"/>
          <w:szCs w:val="24"/>
        </w:rPr>
        <w:t>and) acts chargeable as a general deficiency and acts con</w:t>
      </w:r>
      <w:r w:rsidRPr="00662BA1">
        <w:rPr>
          <w:sz w:val="24"/>
          <w:szCs w:val="24"/>
        </w:rPr>
        <w:t>stituting a continuous offence.</w:t>
      </w:r>
      <w:r w:rsidRPr="00662BA1">
        <w:rPr>
          <w:rFonts w:eastAsia="PMingLiU"/>
          <w:sz w:val="24"/>
          <w:szCs w:val="24"/>
          <w:lang w:eastAsia="zh-TW"/>
        </w:rPr>
        <w:t>”</w:t>
      </w:r>
    </w:p>
    <w:p w:rsidR="008756A8" w:rsidRPr="00662BA1" w:rsidRDefault="008756A8" w:rsidP="008756A8">
      <w:pPr>
        <w:pStyle w:val="para"/>
        <w:numPr>
          <w:ilvl w:val="0"/>
          <w:numId w:val="0"/>
        </w:numPr>
        <w:tabs>
          <w:tab w:val="left" w:pos="2074"/>
        </w:tabs>
        <w:snapToGrid/>
        <w:spacing w:before="0" w:line="80" w:lineRule="exact"/>
        <w:ind w:left="1454" w:right="835" w:hanging="187"/>
        <w:rPr>
          <w:rFonts w:eastAsia="PMingLiU"/>
          <w:sz w:val="24"/>
          <w:szCs w:val="24"/>
          <w:lang w:eastAsia="zh-TW"/>
        </w:rPr>
      </w:pPr>
    </w:p>
    <w:p w:rsidR="008756A8" w:rsidRPr="00662BA1" w:rsidRDefault="008756A8" w:rsidP="008756A8">
      <w:pPr>
        <w:pStyle w:val="para"/>
        <w:numPr>
          <w:ilvl w:val="0"/>
          <w:numId w:val="0"/>
        </w:numPr>
        <w:tabs>
          <w:tab w:val="left" w:pos="2074"/>
        </w:tabs>
        <w:snapToGrid/>
        <w:spacing w:before="0" w:line="80" w:lineRule="exact"/>
        <w:ind w:left="1454" w:right="835" w:hanging="187"/>
        <w:rPr>
          <w:rFonts w:eastAsia="PMingLiU"/>
          <w:sz w:val="24"/>
          <w:szCs w:val="24"/>
          <w:lang w:eastAsia="zh-TW"/>
        </w:rPr>
      </w:pPr>
    </w:p>
    <w:p w:rsidR="00457FA5" w:rsidRPr="00662BA1" w:rsidRDefault="00052537" w:rsidP="00457FA5">
      <w:pPr>
        <w:pStyle w:val="para"/>
        <w:numPr>
          <w:ilvl w:val="0"/>
          <w:numId w:val="0"/>
        </w:numPr>
        <w:tabs>
          <w:tab w:val="left" w:pos="1440"/>
          <w:tab w:val="left" w:pos="2074"/>
        </w:tabs>
        <w:snapToGrid/>
        <w:spacing w:before="360"/>
        <w:rPr>
          <w:szCs w:val="28"/>
        </w:rPr>
      </w:pPr>
      <w:r w:rsidRPr="00662BA1">
        <w:rPr>
          <w:szCs w:val="24"/>
          <w:lang w:eastAsia="zh-TW"/>
        </w:rPr>
        <w:fldChar w:fldCharType="begin"/>
      </w:r>
      <w:r w:rsidR="008756A8" w:rsidRPr="00662BA1">
        <w:rPr>
          <w:szCs w:val="24"/>
          <w:lang w:eastAsia="zh-TW"/>
        </w:rPr>
        <w:instrText xml:space="preserve"> </w:instrText>
      </w:r>
      <w:r w:rsidR="008756A8" w:rsidRPr="00662BA1">
        <w:rPr>
          <w:rFonts w:hint="eastAsia"/>
          <w:szCs w:val="24"/>
          <w:lang w:eastAsia="zh-TW"/>
        </w:rPr>
        <w:instrText xml:space="preserve">AUTONUMOUT </w:instrText>
      </w:r>
      <w:r w:rsidR="008756A8" w:rsidRPr="00662BA1">
        <w:rPr>
          <w:szCs w:val="24"/>
          <w:lang w:eastAsia="zh-TW"/>
        </w:rPr>
        <w:instrText xml:space="preserve"> </w:instrText>
      </w:r>
      <w:r w:rsidRPr="00662BA1">
        <w:rPr>
          <w:szCs w:val="24"/>
          <w:lang w:eastAsia="zh-TW"/>
        </w:rPr>
        <w:fldChar w:fldCharType="end"/>
      </w:r>
      <w:r w:rsidR="008756A8" w:rsidRPr="00662BA1">
        <w:rPr>
          <w:szCs w:val="24"/>
          <w:lang w:eastAsia="zh-TW"/>
        </w:rPr>
        <w:tab/>
      </w:r>
      <w:r w:rsidR="00176C73" w:rsidRPr="00662BA1">
        <w:rPr>
          <w:szCs w:val="28"/>
        </w:rPr>
        <w:t xml:space="preserve">In his consideration of the one transaction exception, having had regard to the speeches of Lord Morris and Lord </w:t>
      </w:r>
      <w:proofErr w:type="spellStart"/>
      <w:r w:rsidR="00176C73" w:rsidRPr="00662BA1">
        <w:rPr>
          <w:szCs w:val="28"/>
        </w:rPr>
        <w:t>Diplock</w:t>
      </w:r>
      <w:proofErr w:type="spellEnd"/>
      <w:r w:rsidR="00176C73" w:rsidRPr="00662BA1">
        <w:rPr>
          <w:szCs w:val="28"/>
        </w:rPr>
        <w:t xml:space="preserve"> in the House of Lords in </w:t>
      </w:r>
      <w:r w:rsidR="00176C73" w:rsidRPr="00662BA1">
        <w:rPr>
          <w:i/>
          <w:szCs w:val="28"/>
        </w:rPr>
        <w:t>DPP v Merriman</w:t>
      </w:r>
      <w:r w:rsidR="00176C73" w:rsidRPr="00662BA1">
        <w:rPr>
          <w:szCs w:val="28"/>
        </w:rPr>
        <w:t xml:space="preserve"> and Lord </w:t>
      </w:r>
      <w:proofErr w:type="spellStart"/>
      <w:r w:rsidR="00176C73" w:rsidRPr="00662BA1">
        <w:rPr>
          <w:szCs w:val="28"/>
        </w:rPr>
        <w:t>Widgery</w:t>
      </w:r>
      <w:proofErr w:type="spellEnd"/>
      <w:r w:rsidR="00176C73" w:rsidRPr="00662BA1">
        <w:rPr>
          <w:szCs w:val="28"/>
        </w:rPr>
        <w:t xml:space="preserve"> CJ in </w:t>
      </w:r>
      <w:proofErr w:type="spellStart"/>
      <w:r w:rsidR="00176C73" w:rsidRPr="00662BA1">
        <w:rPr>
          <w:i/>
          <w:szCs w:val="28"/>
        </w:rPr>
        <w:t>Jemmison</w:t>
      </w:r>
      <w:proofErr w:type="spellEnd"/>
      <w:r w:rsidR="00176C73" w:rsidRPr="00662BA1">
        <w:rPr>
          <w:i/>
          <w:szCs w:val="28"/>
        </w:rPr>
        <w:t xml:space="preserve"> v </w:t>
      </w:r>
      <w:proofErr w:type="spellStart"/>
      <w:r w:rsidR="00176C73" w:rsidRPr="00662BA1">
        <w:rPr>
          <w:i/>
          <w:szCs w:val="28"/>
        </w:rPr>
        <w:t>Priddle</w:t>
      </w:r>
      <w:proofErr w:type="spellEnd"/>
      <w:r w:rsidR="00176C73" w:rsidRPr="00662BA1">
        <w:rPr>
          <w:i/>
          <w:szCs w:val="28"/>
        </w:rPr>
        <w:t>,</w:t>
      </w:r>
      <w:r w:rsidR="009E4F83" w:rsidRPr="00662BA1">
        <w:rPr>
          <w:szCs w:val="28"/>
        </w:rPr>
        <w:t xml:space="preserve"> </w:t>
      </w:r>
      <w:proofErr w:type="spellStart"/>
      <w:r w:rsidR="009E4F83" w:rsidRPr="00662BA1">
        <w:rPr>
          <w:szCs w:val="28"/>
        </w:rPr>
        <w:t>McWalters</w:t>
      </w:r>
      <w:proofErr w:type="spellEnd"/>
      <w:r w:rsidR="009E4F83" w:rsidRPr="00662BA1">
        <w:rPr>
          <w:szCs w:val="28"/>
          <w:lang w:val="en-US"/>
        </w:rPr>
        <w:t> </w:t>
      </w:r>
      <w:r w:rsidR="00176C73" w:rsidRPr="00662BA1">
        <w:rPr>
          <w:szCs w:val="28"/>
        </w:rPr>
        <w:t xml:space="preserve">JA cited various examples of factual situations in which the exception </w:t>
      </w:r>
      <w:r w:rsidR="009E4F83" w:rsidRPr="00662BA1">
        <w:rPr>
          <w:szCs w:val="28"/>
        </w:rPr>
        <w:t xml:space="preserve">was held to obtain, concluding </w:t>
      </w:r>
      <w:r w:rsidR="009E4F83" w:rsidRPr="00662BA1">
        <w:rPr>
          <w:rFonts w:eastAsia="PMingLiU"/>
          <w:szCs w:val="28"/>
          <w:lang w:eastAsia="zh-TW"/>
        </w:rPr>
        <w:t>“</w:t>
      </w:r>
      <w:r w:rsidR="00176C73" w:rsidRPr="00662BA1">
        <w:rPr>
          <w:szCs w:val="28"/>
        </w:rPr>
        <w:t>in order to be the same offence it will usually be necessary that the</w:t>
      </w:r>
      <w:r w:rsidR="009E4F83" w:rsidRPr="00662BA1">
        <w:rPr>
          <w:szCs w:val="28"/>
        </w:rPr>
        <w:t xml:space="preserve"> target of the defendant</w:t>
      </w:r>
      <w:r w:rsidR="009E4F83" w:rsidRPr="00662BA1">
        <w:rPr>
          <w:rFonts w:eastAsia="PMingLiU"/>
          <w:szCs w:val="28"/>
          <w:lang w:eastAsia="zh-TW"/>
        </w:rPr>
        <w:t>’</w:t>
      </w:r>
      <w:r w:rsidR="00176C73" w:rsidRPr="00662BA1">
        <w:rPr>
          <w:szCs w:val="28"/>
        </w:rPr>
        <w:t>s c</w:t>
      </w:r>
      <w:r w:rsidR="009E4F83" w:rsidRPr="00662BA1">
        <w:rPr>
          <w:szCs w:val="28"/>
        </w:rPr>
        <w:t>riminal acts is the same victim</w:t>
      </w:r>
      <w:r w:rsidR="00176C73" w:rsidRPr="00662BA1">
        <w:rPr>
          <w:szCs w:val="28"/>
        </w:rPr>
        <w:t>.</w:t>
      </w:r>
      <w:r w:rsidR="00176C73" w:rsidRPr="00662BA1">
        <w:rPr>
          <w:rStyle w:val="FootnoteReference"/>
          <w:szCs w:val="28"/>
        </w:rPr>
        <w:footnoteReference w:id="49"/>
      </w:r>
      <w:r w:rsidR="009E4F83" w:rsidRPr="00662BA1">
        <w:rPr>
          <w:rFonts w:ascii="PMingLiU" w:eastAsia="PMingLiU" w:hAnsi="PMingLiU" w:hint="eastAsia"/>
          <w:szCs w:val="28"/>
          <w:lang w:eastAsia="zh-TW"/>
        </w:rPr>
        <w:t xml:space="preserve">  </w:t>
      </w:r>
      <w:r w:rsidR="00176C73" w:rsidRPr="00662BA1">
        <w:rPr>
          <w:szCs w:val="28"/>
        </w:rPr>
        <w:t xml:space="preserve">Of the general </w:t>
      </w:r>
      <w:r w:rsidR="009E4F83" w:rsidRPr="00662BA1">
        <w:rPr>
          <w:szCs w:val="28"/>
        </w:rPr>
        <w:t xml:space="preserve">deficiency exception, </w:t>
      </w:r>
      <w:proofErr w:type="spellStart"/>
      <w:r w:rsidR="009E4F83" w:rsidRPr="00662BA1">
        <w:rPr>
          <w:szCs w:val="28"/>
        </w:rPr>
        <w:t>McWalters</w:t>
      </w:r>
      <w:proofErr w:type="spellEnd"/>
      <w:r w:rsidR="009E4F83" w:rsidRPr="00662BA1">
        <w:rPr>
          <w:szCs w:val="28"/>
          <w:lang w:val="en-US"/>
        </w:rPr>
        <w:t> </w:t>
      </w:r>
      <w:r w:rsidR="009E4F83" w:rsidRPr="00662BA1">
        <w:rPr>
          <w:szCs w:val="28"/>
        </w:rPr>
        <w:t>JA said</w:t>
      </w:r>
      <w:r w:rsidR="002C6126">
        <w:rPr>
          <w:szCs w:val="28"/>
        </w:rPr>
        <w:t xml:space="preserve"> “</w:t>
      </w:r>
      <w:r w:rsidR="00176C73" w:rsidRPr="00662BA1">
        <w:rPr>
          <w:szCs w:val="28"/>
        </w:rPr>
        <w:t>…it should not normally be used where the occasions on which each criminal act occurred and the property</w:t>
      </w:r>
      <w:r w:rsidR="002C6126">
        <w:rPr>
          <w:szCs w:val="28"/>
        </w:rPr>
        <w:t xml:space="preserve"> </w:t>
      </w:r>
      <w:r w:rsidR="00176C73" w:rsidRPr="00662BA1">
        <w:rPr>
          <w:szCs w:val="28"/>
        </w:rPr>
        <w:t>…</w:t>
      </w:r>
      <w:r w:rsidR="002C6126">
        <w:rPr>
          <w:szCs w:val="28"/>
        </w:rPr>
        <w:t xml:space="preserve"> </w:t>
      </w:r>
      <w:r w:rsidR="00176C73" w:rsidRPr="00662BA1">
        <w:rPr>
          <w:szCs w:val="28"/>
        </w:rPr>
        <w:t>can be identified.</w:t>
      </w:r>
      <w:r w:rsidR="002C6126">
        <w:rPr>
          <w:rFonts w:eastAsia="PMingLiU"/>
          <w:szCs w:val="28"/>
          <w:lang w:eastAsia="zh-TW"/>
        </w:rPr>
        <w:t>” </w:t>
      </w:r>
      <w:r w:rsidR="00176C73" w:rsidRPr="00662BA1">
        <w:rPr>
          <w:rStyle w:val="FootnoteReference"/>
          <w:szCs w:val="28"/>
        </w:rPr>
        <w:footnoteReference w:id="50"/>
      </w:r>
      <w:r w:rsidR="00176C73" w:rsidRPr="00662BA1">
        <w:rPr>
          <w:szCs w:val="28"/>
        </w:rPr>
        <w:t xml:space="preserve"> </w:t>
      </w:r>
      <w:r w:rsidR="009E4F83" w:rsidRPr="00662BA1">
        <w:rPr>
          <w:rFonts w:ascii="PMingLiU" w:eastAsia="PMingLiU" w:hAnsi="PMingLiU" w:hint="eastAsia"/>
          <w:szCs w:val="28"/>
          <w:lang w:eastAsia="zh-TW"/>
        </w:rPr>
        <w:t xml:space="preserve"> </w:t>
      </w:r>
      <w:r w:rsidR="00176C73" w:rsidRPr="00662BA1">
        <w:rPr>
          <w:szCs w:val="28"/>
        </w:rPr>
        <w:t>Of the one continuo</w:t>
      </w:r>
      <w:r w:rsidR="009E4F83" w:rsidRPr="00662BA1">
        <w:rPr>
          <w:szCs w:val="28"/>
        </w:rPr>
        <w:t xml:space="preserve">us offence exception, </w:t>
      </w:r>
      <w:proofErr w:type="spellStart"/>
      <w:r w:rsidR="009E4F83" w:rsidRPr="00662BA1">
        <w:rPr>
          <w:szCs w:val="28"/>
        </w:rPr>
        <w:t>McWalters</w:t>
      </w:r>
      <w:proofErr w:type="spellEnd"/>
      <w:r w:rsidR="009E4F83" w:rsidRPr="00662BA1">
        <w:rPr>
          <w:szCs w:val="28"/>
          <w:lang w:val="en-US"/>
        </w:rPr>
        <w:t> </w:t>
      </w:r>
      <w:r w:rsidR="00176C73" w:rsidRPr="00662BA1">
        <w:rPr>
          <w:szCs w:val="28"/>
        </w:rPr>
        <w:t>JA cited</w:t>
      </w:r>
      <w:r w:rsidR="009E4F83" w:rsidRPr="00662BA1">
        <w:rPr>
          <w:szCs w:val="28"/>
          <w:lang w:val="en-US"/>
        </w:rPr>
        <w:t> </w:t>
      </w:r>
      <w:r w:rsidR="00176C73" w:rsidRPr="00662BA1">
        <w:rPr>
          <w:rStyle w:val="FootnoteReference"/>
          <w:szCs w:val="28"/>
        </w:rPr>
        <w:footnoteReference w:id="51"/>
      </w:r>
      <w:r w:rsidR="009E4F83" w:rsidRPr="00662BA1">
        <w:rPr>
          <w:rFonts w:ascii="PMingLiU" w:eastAsia="PMingLiU" w:hAnsi="PMingLiU" w:hint="eastAsia"/>
          <w:szCs w:val="28"/>
          <w:lang w:eastAsia="zh-TW"/>
        </w:rPr>
        <w:t xml:space="preserve"> </w:t>
      </w:r>
      <w:r w:rsidR="00176C73" w:rsidRPr="00662BA1">
        <w:rPr>
          <w:szCs w:val="28"/>
        </w:rPr>
        <w:t xml:space="preserve">the observations of Kennedy LJ in </w:t>
      </w:r>
      <w:r w:rsidR="00176C73" w:rsidRPr="00662BA1">
        <w:rPr>
          <w:i/>
          <w:szCs w:val="28"/>
        </w:rPr>
        <w:t xml:space="preserve">Barton v </w:t>
      </w:r>
      <w:proofErr w:type="gramStart"/>
      <w:r w:rsidR="00176C73" w:rsidRPr="00662BA1">
        <w:rPr>
          <w:i/>
          <w:szCs w:val="28"/>
        </w:rPr>
        <w:t>DPP</w:t>
      </w:r>
      <w:r w:rsidR="009E4F83" w:rsidRPr="00662BA1">
        <w:rPr>
          <w:szCs w:val="28"/>
          <w:lang w:val="en-US"/>
        </w:rPr>
        <w:t> </w:t>
      </w:r>
      <w:proofErr w:type="gramEnd"/>
      <w:r w:rsidR="00176C73" w:rsidRPr="00662BA1">
        <w:rPr>
          <w:rStyle w:val="FootnoteReference"/>
          <w:szCs w:val="28"/>
        </w:rPr>
        <w:footnoteReference w:id="52"/>
      </w:r>
      <w:r w:rsidR="00176C73" w:rsidRPr="00662BA1">
        <w:rPr>
          <w:szCs w:val="28"/>
        </w:rPr>
        <w:t xml:space="preserve">, in which he </w:t>
      </w:r>
      <w:r w:rsidR="00457FA5" w:rsidRPr="00662BA1">
        <w:rPr>
          <w:szCs w:val="28"/>
        </w:rPr>
        <w:t>said, “</w:t>
      </w:r>
      <w:r w:rsidR="00176C73" w:rsidRPr="00662BA1">
        <w:rPr>
          <w:szCs w:val="28"/>
        </w:rPr>
        <w:t>It arises where individual transactions are known but where there are many transactions of the same type, frequently individually of small value, against the same victim and it is convenient in order to reflect the overall criminality to p</w:t>
      </w:r>
      <w:r w:rsidR="00457FA5" w:rsidRPr="00662BA1">
        <w:rPr>
          <w:szCs w:val="28"/>
        </w:rPr>
        <w:t>ut them together in one</w:t>
      </w:r>
      <w:r w:rsidR="003329C0">
        <w:rPr>
          <w:szCs w:val="28"/>
        </w:rPr>
        <w:t xml:space="preserve"> </w:t>
      </w:r>
      <w:r w:rsidR="00457FA5" w:rsidRPr="00662BA1">
        <w:rPr>
          <w:szCs w:val="28"/>
        </w:rPr>
        <w:t>… count</w:t>
      </w:r>
      <w:r w:rsidR="003329C0">
        <w:rPr>
          <w:szCs w:val="28"/>
        </w:rPr>
        <w:t xml:space="preserve"> </w:t>
      </w:r>
      <w:r w:rsidR="00457FA5" w:rsidRPr="00662BA1">
        <w:rPr>
          <w:szCs w:val="28"/>
        </w:rPr>
        <w:t>…”</w:t>
      </w:r>
      <w:r w:rsidR="00BC778C" w:rsidRPr="00662BA1">
        <w:rPr>
          <w:szCs w:val="28"/>
        </w:rPr>
        <w:t>.</w:t>
      </w:r>
    </w:p>
    <w:p w:rsidR="00176C73" w:rsidRPr="00662BA1" w:rsidRDefault="00052537" w:rsidP="00457FA5">
      <w:pPr>
        <w:pStyle w:val="para"/>
        <w:numPr>
          <w:ilvl w:val="0"/>
          <w:numId w:val="0"/>
        </w:numPr>
        <w:tabs>
          <w:tab w:val="left" w:pos="1440"/>
          <w:tab w:val="left" w:pos="2074"/>
        </w:tabs>
        <w:snapToGrid/>
        <w:spacing w:before="360"/>
        <w:rPr>
          <w:szCs w:val="28"/>
        </w:rPr>
      </w:pPr>
      <w:r w:rsidRPr="00662BA1">
        <w:rPr>
          <w:szCs w:val="28"/>
        </w:rPr>
        <w:fldChar w:fldCharType="begin"/>
      </w:r>
      <w:r w:rsidR="00457FA5" w:rsidRPr="00662BA1">
        <w:rPr>
          <w:szCs w:val="28"/>
        </w:rPr>
        <w:instrText xml:space="preserve"> AUTONUMOUT  </w:instrText>
      </w:r>
      <w:r w:rsidRPr="00662BA1">
        <w:rPr>
          <w:szCs w:val="28"/>
        </w:rPr>
        <w:fldChar w:fldCharType="end"/>
      </w:r>
      <w:r w:rsidR="00457FA5" w:rsidRPr="00662BA1">
        <w:rPr>
          <w:szCs w:val="28"/>
        </w:rPr>
        <w:tab/>
      </w:r>
      <w:r w:rsidR="00176C73" w:rsidRPr="00662BA1">
        <w:rPr>
          <w:szCs w:val="28"/>
        </w:rPr>
        <w:t>In determining that the char</w:t>
      </w:r>
      <w:r w:rsidR="00457FA5" w:rsidRPr="00662BA1">
        <w:rPr>
          <w:szCs w:val="28"/>
        </w:rPr>
        <w:t xml:space="preserve">ges were duplicitous, </w:t>
      </w:r>
      <w:proofErr w:type="spellStart"/>
      <w:r w:rsidR="00457FA5" w:rsidRPr="00662BA1">
        <w:rPr>
          <w:szCs w:val="28"/>
        </w:rPr>
        <w:t>McWalters</w:t>
      </w:r>
      <w:proofErr w:type="spellEnd"/>
      <w:r w:rsidR="00457FA5" w:rsidRPr="00662BA1">
        <w:rPr>
          <w:szCs w:val="28"/>
        </w:rPr>
        <w:t> </w:t>
      </w:r>
      <w:r w:rsidR="00176C73" w:rsidRPr="00662BA1">
        <w:rPr>
          <w:szCs w:val="28"/>
        </w:rPr>
        <w:t>JA said:</w:t>
      </w:r>
      <w:r w:rsidR="00176C73" w:rsidRPr="00662BA1">
        <w:rPr>
          <w:rStyle w:val="FootnoteReference"/>
          <w:szCs w:val="28"/>
        </w:rPr>
        <w:footnoteReference w:id="53"/>
      </w:r>
    </w:p>
    <w:p w:rsidR="00176C73" w:rsidRPr="00662BA1" w:rsidRDefault="00457FA5" w:rsidP="00457FA5">
      <w:pPr>
        <w:pStyle w:val="para"/>
        <w:numPr>
          <w:ilvl w:val="0"/>
          <w:numId w:val="0"/>
        </w:numPr>
        <w:tabs>
          <w:tab w:val="left" w:pos="2074"/>
        </w:tabs>
        <w:snapToGrid/>
        <w:spacing w:before="240" w:line="240" w:lineRule="auto"/>
        <w:ind w:left="1454" w:right="835" w:hanging="187"/>
        <w:rPr>
          <w:sz w:val="24"/>
          <w:szCs w:val="24"/>
        </w:rPr>
      </w:pPr>
      <w:r w:rsidRPr="00662BA1">
        <w:rPr>
          <w:sz w:val="24"/>
          <w:szCs w:val="24"/>
        </w:rPr>
        <w:t>“</w:t>
      </w:r>
      <w:r w:rsidRPr="00662BA1">
        <w:rPr>
          <w:sz w:val="24"/>
          <w:szCs w:val="24"/>
        </w:rPr>
        <w:tab/>
      </w:r>
      <w:r w:rsidR="00176C73" w:rsidRPr="00662BA1">
        <w:rPr>
          <w:sz w:val="24"/>
          <w:szCs w:val="24"/>
        </w:rPr>
        <w:t xml:space="preserve">We do not see how this activity, spanning as it does a period of some two and a half months and involving different receipts on different occasions from different victims can be said to be one offence.  We are of the view that this conduct cannot be brought within the </w:t>
      </w:r>
      <w:proofErr w:type="spellStart"/>
      <w:r w:rsidR="00176C73" w:rsidRPr="00662BA1">
        <w:rPr>
          <w:i/>
          <w:sz w:val="24"/>
          <w:szCs w:val="24"/>
        </w:rPr>
        <w:t>Jemmison</w:t>
      </w:r>
      <w:proofErr w:type="spellEnd"/>
      <w:r w:rsidR="00176C73" w:rsidRPr="00662BA1">
        <w:rPr>
          <w:i/>
          <w:sz w:val="24"/>
          <w:szCs w:val="24"/>
        </w:rPr>
        <w:t xml:space="preserve"> v </w:t>
      </w:r>
      <w:proofErr w:type="spellStart"/>
      <w:r w:rsidR="00176C73" w:rsidRPr="00662BA1">
        <w:rPr>
          <w:i/>
          <w:sz w:val="24"/>
          <w:szCs w:val="24"/>
        </w:rPr>
        <w:t>Priddle</w:t>
      </w:r>
      <w:proofErr w:type="spellEnd"/>
      <w:r w:rsidR="00176C73" w:rsidRPr="00662BA1">
        <w:rPr>
          <w:sz w:val="24"/>
          <w:szCs w:val="24"/>
        </w:rPr>
        <w:t xml:space="preserve">, </w:t>
      </w:r>
      <w:r w:rsidR="00176C73" w:rsidRPr="00662BA1">
        <w:rPr>
          <w:i/>
          <w:sz w:val="24"/>
          <w:szCs w:val="24"/>
        </w:rPr>
        <w:t>Merriman</w:t>
      </w:r>
      <w:r w:rsidR="00176C73" w:rsidRPr="00662BA1">
        <w:rPr>
          <w:sz w:val="24"/>
          <w:szCs w:val="24"/>
        </w:rPr>
        <w:t xml:space="preserve"> exception.</w:t>
      </w:r>
    </w:p>
    <w:p w:rsidR="00457FA5" w:rsidRPr="00662BA1" w:rsidRDefault="00176C73" w:rsidP="00457FA5">
      <w:pPr>
        <w:pStyle w:val="para"/>
        <w:numPr>
          <w:ilvl w:val="0"/>
          <w:numId w:val="0"/>
        </w:numPr>
        <w:snapToGrid/>
        <w:spacing w:before="240" w:line="240" w:lineRule="auto"/>
        <w:ind w:left="1454" w:right="835" w:hanging="14"/>
        <w:rPr>
          <w:sz w:val="24"/>
          <w:szCs w:val="24"/>
        </w:rPr>
      </w:pPr>
      <w:r w:rsidRPr="00662BA1">
        <w:rPr>
          <w:sz w:val="24"/>
          <w:szCs w:val="24"/>
        </w:rPr>
        <w:t xml:space="preserve">For completeness’ sake, we </w:t>
      </w:r>
      <w:proofErr w:type="gramStart"/>
      <w:r w:rsidRPr="00662BA1">
        <w:rPr>
          <w:sz w:val="24"/>
          <w:szCs w:val="24"/>
        </w:rPr>
        <w:t>should say</w:t>
      </w:r>
      <w:proofErr w:type="gramEnd"/>
      <w:r w:rsidRPr="00662BA1">
        <w:rPr>
          <w:sz w:val="24"/>
          <w:szCs w:val="24"/>
        </w:rPr>
        <w:t xml:space="preserve"> that nor, in our view, can it be brought within the general deficiency</w:t>
      </w:r>
      <w:r w:rsidR="003329C0">
        <w:rPr>
          <w:sz w:val="24"/>
          <w:szCs w:val="24"/>
        </w:rPr>
        <w:t xml:space="preserve"> or continuous act exceptions.  </w:t>
      </w:r>
      <w:r w:rsidRPr="00662BA1">
        <w:rPr>
          <w:sz w:val="24"/>
          <w:szCs w:val="24"/>
        </w:rPr>
        <w:t>The former exception requires that the occasion of the individual criminal acts be incapable of identification and both require that the victim be the same.  Here, each dealing, that is, each deposit of monies into the various bank accounts, can be identified and each deposit</w:t>
      </w:r>
      <w:r w:rsidR="00457FA5" w:rsidRPr="00662BA1">
        <w:rPr>
          <w:sz w:val="24"/>
          <w:szCs w:val="24"/>
        </w:rPr>
        <w:t xml:space="preserve"> is made by a different victim.”</w:t>
      </w:r>
    </w:p>
    <w:p w:rsidR="00176C73" w:rsidRPr="00662BA1" w:rsidRDefault="00176C73" w:rsidP="00457FA5">
      <w:pPr>
        <w:pStyle w:val="para"/>
        <w:numPr>
          <w:ilvl w:val="0"/>
          <w:numId w:val="0"/>
        </w:numPr>
        <w:snapToGrid/>
        <w:spacing w:before="0" w:line="80" w:lineRule="exact"/>
        <w:ind w:left="1454" w:right="835" w:hanging="187"/>
        <w:rPr>
          <w:sz w:val="24"/>
          <w:szCs w:val="24"/>
        </w:rPr>
      </w:pPr>
    </w:p>
    <w:p w:rsidR="00176C73" w:rsidRPr="00662BA1" w:rsidRDefault="00052537" w:rsidP="00457FA5">
      <w:pPr>
        <w:pStyle w:val="para"/>
        <w:numPr>
          <w:ilvl w:val="0"/>
          <w:numId w:val="0"/>
        </w:numPr>
        <w:tabs>
          <w:tab w:val="left" w:pos="1440"/>
        </w:tabs>
        <w:snapToGrid/>
        <w:spacing w:before="360"/>
        <w:rPr>
          <w:szCs w:val="24"/>
        </w:rPr>
      </w:pPr>
      <w:r w:rsidRPr="00662BA1">
        <w:rPr>
          <w:szCs w:val="24"/>
        </w:rPr>
        <w:fldChar w:fldCharType="begin"/>
      </w:r>
      <w:r w:rsidR="00457FA5" w:rsidRPr="00662BA1">
        <w:rPr>
          <w:szCs w:val="24"/>
        </w:rPr>
        <w:instrText xml:space="preserve"> AUTONUMOUT  </w:instrText>
      </w:r>
      <w:r w:rsidRPr="00662BA1">
        <w:rPr>
          <w:szCs w:val="24"/>
        </w:rPr>
        <w:fldChar w:fldCharType="end"/>
      </w:r>
      <w:r w:rsidR="00457FA5" w:rsidRPr="00662BA1">
        <w:rPr>
          <w:szCs w:val="24"/>
        </w:rPr>
        <w:tab/>
      </w:r>
      <w:r w:rsidR="00176C73" w:rsidRPr="00662BA1">
        <w:rPr>
          <w:szCs w:val="28"/>
        </w:rPr>
        <w:t xml:space="preserve">In </w:t>
      </w:r>
      <w:r w:rsidR="00176C73" w:rsidRPr="00662BA1">
        <w:rPr>
          <w:i/>
          <w:szCs w:val="28"/>
        </w:rPr>
        <w:t>Barton v Director of Public Prosecutions</w:t>
      </w:r>
      <w:r w:rsidR="00176C73" w:rsidRPr="00662BA1">
        <w:rPr>
          <w:szCs w:val="28"/>
        </w:rPr>
        <w:t xml:space="preserve">, the Divisional Court dismissed an appeal that </w:t>
      </w:r>
      <w:proofErr w:type="gramStart"/>
      <w:r w:rsidR="00176C73" w:rsidRPr="00662BA1">
        <w:rPr>
          <w:szCs w:val="28"/>
        </w:rPr>
        <w:t xml:space="preserve">an </w:t>
      </w:r>
      <w:r w:rsidR="00457FA5" w:rsidRPr="00662BA1">
        <w:rPr>
          <w:szCs w:val="28"/>
        </w:rPr>
        <w:t>I</w:t>
      </w:r>
      <w:r w:rsidR="00176C73" w:rsidRPr="00662BA1">
        <w:rPr>
          <w:szCs w:val="28"/>
        </w:rPr>
        <w:t>nformation</w:t>
      </w:r>
      <w:proofErr w:type="gramEnd"/>
      <w:r w:rsidR="00176C73" w:rsidRPr="00662BA1">
        <w:rPr>
          <w:szCs w:val="28"/>
        </w:rPr>
        <w:t xml:space="preserve">, upon which the appellant had been convicted, was duplicitous in that it alleged the theft of a total of £1,338 from the till of Buxton Opera house on 94 occasions in the period of one year. </w:t>
      </w:r>
      <w:r w:rsidR="00457FA5" w:rsidRPr="00662BA1">
        <w:rPr>
          <w:szCs w:val="28"/>
        </w:rPr>
        <w:t xml:space="preserve"> </w:t>
      </w:r>
      <w:r w:rsidR="00176C73" w:rsidRPr="00662BA1">
        <w:rPr>
          <w:szCs w:val="28"/>
        </w:rPr>
        <w:t>In the</w:t>
      </w:r>
      <w:r w:rsidR="00457FA5" w:rsidRPr="00662BA1">
        <w:rPr>
          <w:szCs w:val="28"/>
        </w:rPr>
        <w:t xml:space="preserve"> judgment of the Court, Kennedy </w:t>
      </w:r>
      <w:r w:rsidR="00176C73" w:rsidRPr="00662BA1">
        <w:rPr>
          <w:szCs w:val="28"/>
        </w:rPr>
        <w:t xml:space="preserve">LJ noted that the prosecution case had been set out in a schedule in which the date and each of the amounts of money taken had been stipulated. </w:t>
      </w:r>
      <w:r w:rsidR="00457FA5" w:rsidRPr="00662BA1">
        <w:rPr>
          <w:szCs w:val="28"/>
        </w:rPr>
        <w:t xml:space="preserve"> </w:t>
      </w:r>
      <w:r w:rsidR="00176C73" w:rsidRPr="00662BA1">
        <w:rPr>
          <w:szCs w:val="28"/>
        </w:rPr>
        <w:t xml:space="preserve">Having noted of alternative ways of prosecuting the misconduct, that the bringing of 10 </w:t>
      </w:r>
      <w:proofErr w:type="spellStart"/>
      <w:r w:rsidR="00176C73" w:rsidRPr="00662BA1">
        <w:rPr>
          <w:szCs w:val="28"/>
        </w:rPr>
        <w:t>Informations</w:t>
      </w:r>
      <w:proofErr w:type="spellEnd"/>
      <w:r w:rsidR="00176C73" w:rsidRPr="00662BA1">
        <w:rPr>
          <w:szCs w:val="28"/>
        </w:rPr>
        <w:t xml:space="preserve"> reflecting the theft of an aggregate amount of less than £200 would not have reflected the overall criminality and that the bringing of 94 </w:t>
      </w:r>
      <w:proofErr w:type="spellStart"/>
      <w:r w:rsidR="00176C73" w:rsidRPr="00662BA1">
        <w:rPr>
          <w:szCs w:val="28"/>
        </w:rPr>
        <w:t>Informat</w:t>
      </w:r>
      <w:r w:rsidR="00457FA5" w:rsidRPr="00662BA1">
        <w:rPr>
          <w:szCs w:val="28"/>
        </w:rPr>
        <w:t>ions</w:t>
      </w:r>
      <w:proofErr w:type="spellEnd"/>
      <w:r w:rsidR="00457FA5" w:rsidRPr="00662BA1">
        <w:rPr>
          <w:szCs w:val="28"/>
        </w:rPr>
        <w:t xml:space="preserve"> would have been oppressive</w:t>
      </w:r>
      <w:r w:rsidR="00176C73" w:rsidRPr="00662BA1">
        <w:rPr>
          <w:szCs w:val="28"/>
        </w:rPr>
        <w:t>, he said:</w:t>
      </w:r>
      <w:r w:rsidR="00176C73" w:rsidRPr="00662BA1">
        <w:rPr>
          <w:rStyle w:val="FootnoteReference"/>
          <w:szCs w:val="28"/>
        </w:rPr>
        <w:footnoteReference w:id="54"/>
      </w:r>
    </w:p>
    <w:p w:rsidR="00457FA5" w:rsidRPr="00662BA1" w:rsidRDefault="00457FA5" w:rsidP="00457FA5">
      <w:pPr>
        <w:pStyle w:val="Default"/>
        <w:tabs>
          <w:tab w:val="left" w:pos="2074"/>
        </w:tabs>
        <w:autoSpaceDE/>
        <w:autoSpaceDN/>
        <w:adjustRightInd/>
        <w:spacing w:before="240"/>
        <w:ind w:left="1454" w:right="835" w:hanging="187"/>
        <w:jc w:val="both"/>
        <w:rPr>
          <w:rFonts w:ascii="Times New Roman" w:cs="Times New Roman"/>
        </w:rPr>
      </w:pPr>
      <w:r w:rsidRPr="00662BA1">
        <w:rPr>
          <w:rFonts w:ascii="Times New Roman" w:cs="Times New Roman"/>
        </w:rPr>
        <w:t>“</w:t>
      </w:r>
      <w:r w:rsidRPr="00662BA1">
        <w:rPr>
          <w:rFonts w:ascii="Times New Roman" w:cs="Times New Roman"/>
        </w:rPr>
        <w:tab/>
      </w:r>
      <w:r w:rsidR="00176C73" w:rsidRPr="00662BA1">
        <w:rPr>
          <w:rFonts w:ascii="Times New Roman" w:cs="Times New Roman"/>
        </w:rPr>
        <w:t>The defendant had no specific explanation to offer.</w:t>
      </w:r>
      <w:r w:rsidRPr="00662BA1">
        <w:rPr>
          <w:rFonts w:ascii="Times New Roman" w:cs="Times New Roman"/>
        </w:rPr>
        <w:t xml:space="preserve">  </w:t>
      </w:r>
      <w:r w:rsidR="00176C73" w:rsidRPr="00662BA1">
        <w:rPr>
          <w:rFonts w:ascii="Times New Roman" w:cs="Times New Roman"/>
        </w:rPr>
        <w:t>This is not a case where she had put forward a specific answer to some of the alleged takings and not to others, and that then specific answers need</w:t>
      </w:r>
      <w:r w:rsidRPr="00662BA1">
        <w:rPr>
          <w:rFonts w:ascii="Times New Roman" w:cs="Times New Roman"/>
        </w:rPr>
        <w:t>ed to be considered separately.”</w:t>
      </w:r>
    </w:p>
    <w:p w:rsidR="00457FA5" w:rsidRPr="00662BA1" w:rsidRDefault="00457FA5" w:rsidP="00457FA5">
      <w:pPr>
        <w:pStyle w:val="Default"/>
        <w:tabs>
          <w:tab w:val="left" w:pos="2074"/>
        </w:tabs>
        <w:autoSpaceDE/>
        <w:autoSpaceDN/>
        <w:adjustRightInd/>
        <w:spacing w:line="80" w:lineRule="exact"/>
        <w:ind w:left="1454" w:right="835" w:hanging="187"/>
        <w:jc w:val="both"/>
        <w:rPr>
          <w:rFonts w:ascii="Times New Roman" w:cs="Times New Roman"/>
        </w:rPr>
      </w:pPr>
    </w:p>
    <w:p w:rsidR="00176C73" w:rsidRPr="00662BA1" w:rsidRDefault="00176C73" w:rsidP="00457FA5">
      <w:pPr>
        <w:pStyle w:val="Default"/>
        <w:tabs>
          <w:tab w:val="left" w:pos="2074"/>
        </w:tabs>
        <w:autoSpaceDE/>
        <w:autoSpaceDN/>
        <w:adjustRightInd/>
        <w:spacing w:line="80" w:lineRule="exact"/>
        <w:ind w:left="1454" w:right="835" w:hanging="187"/>
        <w:jc w:val="both"/>
        <w:rPr>
          <w:rFonts w:ascii="Times New Roman" w:cs="Times New Roman"/>
        </w:rPr>
      </w:pPr>
    </w:p>
    <w:p w:rsidR="00BC6BB9" w:rsidRPr="00662BA1" w:rsidRDefault="00052537" w:rsidP="00BC6BB9">
      <w:pPr>
        <w:pStyle w:val="Default"/>
        <w:tabs>
          <w:tab w:val="left" w:pos="1440"/>
          <w:tab w:val="left" w:pos="2074"/>
        </w:tabs>
        <w:autoSpaceDE/>
        <w:autoSpaceDN/>
        <w:adjustRightInd/>
        <w:spacing w:before="360" w:line="360" w:lineRule="auto"/>
        <w:jc w:val="both"/>
        <w:rPr>
          <w:rFonts w:ascii="Times New Roman" w:cs="Times New Roman"/>
          <w:sz w:val="28"/>
          <w:szCs w:val="28"/>
        </w:rPr>
      </w:pPr>
      <w:r w:rsidRPr="00662BA1">
        <w:rPr>
          <w:rFonts w:ascii="Times New Roman" w:eastAsia="宋体" w:cs="Times New Roman"/>
          <w:color w:val="auto"/>
          <w:sz w:val="28"/>
        </w:rPr>
        <w:fldChar w:fldCharType="begin"/>
      </w:r>
      <w:r w:rsidR="00457FA5" w:rsidRPr="00662BA1">
        <w:rPr>
          <w:rFonts w:ascii="Times New Roman" w:eastAsia="宋体" w:cs="Times New Roman"/>
          <w:color w:val="auto"/>
          <w:sz w:val="28"/>
        </w:rPr>
        <w:instrText xml:space="preserve"> AUTONUMOUT  </w:instrText>
      </w:r>
      <w:r w:rsidRPr="00662BA1">
        <w:rPr>
          <w:rFonts w:ascii="Times New Roman" w:eastAsia="宋体" w:cs="Times New Roman"/>
          <w:color w:val="auto"/>
          <w:sz w:val="28"/>
        </w:rPr>
        <w:fldChar w:fldCharType="end"/>
      </w:r>
      <w:r w:rsidR="00457FA5" w:rsidRPr="00662BA1">
        <w:rPr>
          <w:rFonts w:ascii="Times New Roman" w:eastAsia="宋体" w:cs="Times New Roman"/>
          <w:color w:val="auto"/>
          <w:sz w:val="28"/>
        </w:rPr>
        <w:tab/>
      </w:r>
      <w:r w:rsidR="00176C73" w:rsidRPr="00662BA1">
        <w:rPr>
          <w:rFonts w:ascii="Times New Roman" w:cs="Times New Roman"/>
          <w:sz w:val="28"/>
          <w:szCs w:val="28"/>
        </w:rPr>
        <w:t>In</w:t>
      </w:r>
      <w:r w:rsidR="00BC778C" w:rsidRPr="00662BA1">
        <w:rPr>
          <w:rFonts w:ascii="Times New Roman" w:cs="Times New Roman"/>
          <w:sz w:val="28"/>
          <w:szCs w:val="28"/>
        </w:rPr>
        <w:t xml:space="preserve"> the result, he concluded that “</w:t>
      </w:r>
      <w:r w:rsidR="00176C73" w:rsidRPr="00662BA1">
        <w:rPr>
          <w:rFonts w:ascii="Times New Roman" w:cs="Times New Roman"/>
          <w:sz w:val="28"/>
          <w:szCs w:val="28"/>
        </w:rPr>
        <w:t>there was no discernible prejudice or unfairness to the appellant in regarding this as a continuous offence within the princip</w:t>
      </w:r>
      <w:r w:rsidR="00BC778C" w:rsidRPr="00662BA1">
        <w:rPr>
          <w:rFonts w:ascii="Times New Roman" w:cs="Times New Roman"/>
          <w:sz w:val="28"/>
          <w:szCs w:val="28"/>
        </w:rPr>
        <w:t>les set out in the authorities…</w:t>
      </w:r>
      <w:proofErr w:type="gramStart"/>
      <w:r w:rsidR="00BC778C" w:rsidRPr="00662BA1">
        <w:rPr>
          <w:rFonts w:ascii="Times New Roman" w:cs="Times New Roman"/>
          <w:sz w:val="28"/>
          <w:szCs w:val="28"/>
        </w:rPr>
        <w:t>”</w:t>
      </w:r>
      <w:r w:rsidR="00176C73" w:rsidRPr="00662BA1">
        <w:rPr>
          <w:rFonts w:ascii="Times New Roman" w:cs="Times New Roman"/>
          <w:sz w:val="28"/>
          <w:szCs w:val="28"/>
        </w:rPr>
        <w:t>.</w:t>
      </w:r>
      <w:proofErr w:type="gramEnd"/>
    </w:p>
    <w:p w:rsidR="00BC6BB9" w:rsidRPr="00662BA1" w:rsidRDefault="00176C73" w:rsidP="00BC6BB9">
      <w:pPr>
        <w:pStyle w:val="Default"/>
        <w:tabs>
          <w:tab w:val="left" w:pos="1440"/>
          <w:tab w:val="left" w:pos="2074"/>
        </w:tabs>
        <w:autoSpaceDE/>
        <w:autoSpaceDN/>
        <w:adjustRightInd/>
        <w:spacing w:before="360" w:line="360" w:lineRule="auto"/>
        <w:jc w:val="both"/>
        <w:rPr>
          <w:rFonts w:ascii="Times New Roman" w:cs="Times New Roman"/>
          <w:i/>
          <w:sz w:val="28"/>
          <w:szCs w:val="28"/>
        </w:rPr>
      </w:pPr>
      <w:r w:rsidRPr="00662BA1">
        <w:rPr>
          <w:rFonts w:ascii="Times New Roman" w:cs="Times New Roman"/>
          <w:i/>
          <w:sz w:val="28"/>
          <w:szCs w:val="28"/>
        </w:rPr>
        <w:t xml:space="preserve">England and Wales </w:t>
      </w:r>
    </w:p>
    <w:p w:rsidR="00176C73" w:rsidRPr="00662BA1" w:rsidRDefault="00052537" w:rsidP="00BC6BB9">
      <w:pPr>
        <w:pStyle w:val="Default"/>
        <w:tabs>
          <w:tab w:val="left" w:pos="1440"/>
          <w:tab w:val="left" w:pos="2074"/>
        </w:tabs>
        <w:autoSpaceDE/>
        <w:autoSpaceDN/>
        <w:adjustRightInd/>
        <w:spacing w:before="360" w:line="360" w:lineRule="auto"/>
        <w:jc w:val="both"/>
        <w:rPr>
          <w:rFonts w:ascii="Times New Roman" w:cs="Times New Roman"/>
          <w:sz w:val="28"/>
          <w:szCs w:val="28"/>
        </w:rPr>
      </w:pPr>
      <w:r w:rsidRPr="00662BA1">
        <w:rPr>
          <w:rFonts w:ascii="Times New Roman" w:eastAsia="宋体" w:cs="Times New Roman"/>
          <w:color w:val="auto"/>
          <w:sz w:val="28"/>
          <w:szCs w:val="28"/>
        </w:rPr>
        <w:fldChar w:fldCharType="begin"/>
      </w:r>
      <w:r w:rsidR="00BC6BB9" w:rsidRPr="00662BA1">
        <w:rPr>
          <w:rFonts w:ascii="Times New Roman" w:eastAsia="宋体" w:cs="Times New Roman"/>
          <w:color w:val="auto"/>
          <w:sz w:val="28"/>
          <w:szCs w:val="28"/>
        </w:rPr>
        <w:instrText xml:space="preserve"> AUTONUMOUT  </w:instrText>
      </w:r>
      <w:r w:rsidRPr="00662BA1">
        <w:rPr>
          <w:rFonts w:ascii="Times New Roman" w:eastAsia="宋体" w:cs="Times New Roman"/>
          <w:color w:val="auto"/>
          <w:sz w:val="28"/>
          <w:szCs w:val="28"/>
        </w:rPr>
        <w:fldChar w:fldCharType="end"/>
      </w:r>
      <w:r w:rsidR="00BC6BB9" w:rsidRPr="00662BA1">
        <w:rPr>
          <w:rFonts w:ascii="Times New Roman" w:eastAsia="宋体" w:cs="Times New Roman"/>
          <w:color w:val="auto"/>
          <w:sz w:val="28"/>
          <w:szCs w:val="28"/>
        </w:rPr>
        <w:tab/>
      </w:r>
      <w:r w:rsidR="00176C73" w:rsidRPr="00662BA1">
        <w:rPr>
          <w:rFonts w:ascii="Times New Roman" w:cs="Times New Roman"/>
          <w:sz w:val="28"/>
          <w:szCs w:val="28"/>
        </w:rPr>
        <w:t>It is clear from the helpful explanat</w:t>
      </w:r>
      <w:r w:rsidR="00BC6BB9" w:rsidRPr="00662BA1">
        <w:rPr>
          <w:rFonts w:ascii="Times New Roman" w:cs="Times New Roman"/>
          <w:sz w:val="28"/>
          <w:szCs w:val="28"/>
        </w:rPr>
        <w:t>ion provided to the Court by Ms </w:t>
      </w:r>
      <w:r w:rsidR="00176C73" w:rsidRPr="00662BA1">
        <w:rPr>
          <w:rFonts w:ascii="Times New Roman" w:cs="Times New Roman"/>
          <w:sz w:val="28"/>
          <w:szCs w:val="28"/>
        </w:rPr>
        <w:t>Montgomery of the history of the developments in England and Wales of the Criminal Procedure Rules and the related Practice Direction that care has to be taken in having regard to subsequent auth</w:t>
      </w:r>
      <w:r w:rsidR="00BC6BB9" w:rsidRPr="00662BA1">
        <w:rPr>
          <w:rFonts w:ascii="Times New Roman" w:cs="Times New Roman"/>
          <w:sz w:val="28"/>
          <w:szCs w:val="28"/>
        </w:rPr>
        <w:t xml:space="preserve">orities from that jurisdiction.  </w:t>
      </w:r>
      <w:r w:rsidR="00176C73" w:rsidRPr="00662BA1">
        <w:rPr>
          <w:rFonts w:ascii="Times New Roman" w:cs="Times New Roman"/>
          <w:sz w:val="28"/>
          <w:szCs w:val="28"/>
        </w:rPr>
        <w:t xml:space="preserve">The Indictment Rules 1971 were revoked by the Criminal Procedure (Amendment) Rules 2007. </w:t>
      </w:r>
      <w:r w:rsidR="00BC6BB9" w:rsidRPr="00662BA1">
        <w:rPr>
          <w:rFonts w:ascii="Times New Roman" w:cs="Times New Roman"/>
          <w:sz w:val="28"/>
          <w:szCs w:val="28"/>
        </w:rPr>
        <w:t xml:space="preserve"> </w:t>
      </w:r>
      <w:r w:rsidR="00176C73" w:rsidRPr="00662BA1">
        <w:rPr>
          <w:rFonts w:ascii="Times New Roman" w:cs="Times New Roman"/>
          <w:sz w:val="28"/>
          <w:szCs w:val="28"/>
        </w:rPr>
        <w:t>The Criminal Procedure (Amendment) Rules 2005, as amended, made provision for new rules in respect of both the form and content of</w:t>
      </w:r>
      <w:r w:rsidR="00807C79" w:rsidRPr="00662BA1">
        <w:rPr>
          <w:rFonts w:ascii="Times New Roman" w:cs="Times New Roman"/>
          <w:sz w:val="28"/>
          <w:szCs w:val="28"/>
        </w:rPr>
        <w:t xml:space="preserve"> an indictment, so that by r</w:t>
      </w:r>
      <w:r w:rsidR="00BC6BB9" w:rsidRPr="00662BA1">
        <w:rPr>
          <w:rFonts w:ascii="Times New Roman" w:cs="Times New Roman"/>
          <w:sz w:val="28"/>
          <w:szCs w:val="28"/>
        </w:rPr>
        <w:t>ule </w:t>
      </w:r>
      <w:r w:rsidR="003329C0">
        <w:rPr>
          <w:rFonts w:ascii="Times New Roman" w:cs="Times New Roman"/>
          <w:sz w:val="28"/>
          <w:szCs w:val="28"/>
        </w:rPr>
        <w:t>14.2</w:t>
      </w:r>
      <w:r w:rsidR="00176C73" w:rsidRPr="00662BA1">
        <w:rPr>
          <w:rFonts w:ascii="Times New Roman" w:cs="Times New Roman"/>
          <w:sz w:val="28"/>
          <w:szCs w:val="28"/>
        </w:rPr>
        <w:t>(2) provision is made that:</w:t>
      </w:r>
    </w:p>
    <w:p w:rsidR="00BC6BB9" w:rsidRPr="00662BA1" w:rsidRDefault="00BC6BB9" w:rsidP="00BC6BB9">
      <w:pPr>
        <w:pStyle w:val="Default"/>
        <w:tabs>
          <w:tab w:val="left" w:pos="2074"/>
        </w:tabs>
        <w:autoSpaceDE/>
        <w:autoSpaceDN/>
        <w:adjustRightInd/>
        <w:spacing w:before="240"/>
        <w:ind w:left="1454" w:right="835" w:hanging="187"/>
        <w:jc w:val="both"/>
        <w:rPr>
          <w:rFonts w:ascii="Times New Roman" w:cs="Times New Roman"/>
        </w:rPr>
      </w:pPr>
      <w:r w:rsidRPr="00662BA1">
        <w:rPr>
          <w:rFonts w:ascii="Times New Roman" w:cs="Times New Roman"/>
        </w:rPr>
        <w:t>“</w:t>
      </w:r>
      <w:r w:rsidRPr="00662BA1">
        <w:rPr>
          <w:rFonts w:ascii="Times New Roman" w:cs="Times New Roman"/>
        </w:rPr>
        <w:tab/>
      </w:r>
      <w:r w:rsidR="00176C73" w:rsidRPr="00662BA1">
        <w:rPr>
          <w:rFonts w:ascii="Times New Roman" w:cs="Times New Roman"/>
        </w:rPr>
        <w:t xml:space="preserve">More than one incident of the commission of the offence may be included in the count if those incidents taken together amount to a course of conduct having regard to the time, </w:t>
      </w:r>
      <w:r w:rsidRPr="00662BA1">
        <w:rPr>
          <w:rFonts w:ascii="Times New Roman" w:cs="Times New Roman"/>
        </w:rPr>
        <w:t>place or purpose of commission.”</w:t>
      </w:r>
    </w:p>
    <w:p w:rsidR="00BC6BB9" w:rsidRPr="00662BA1" w:rsidRDefault="00BC6BB9" w:rsidP="00BC6BB9">
      <w:pPr>
        <w:pStyle w:val="Default"/>
        <w:tabs>
          <w:tab w:val="left" w:pos="2074"/>
        </w:tabs>
        <w:autoSpaceDE/>
        <w:autoSpaceDN/>
        <w:adjustRightInd/>
        <w:spacing w:line="80" w:lineRule="exact"/>
        <w:ind w:left="1454" w:right="835" w:hanging="187"/>
        <w:jc w:val="both"/>
        <w:rPr>
          <w:rFonts w:ascii="Times New Roman" w:cs="Times New Roman"/>
        </w:rPr>
      </w:pPr>
    </w:p>
    <w:p w:rsidR="00176C73" w:rsidRPr="00662BA1" w:rsidRDefault="00176C73" w:rsidP="00BC6BB9">
      <w:pPr>
        <w:pStyle w:val="Default"/>
        <w:tabs>
          <w:tab w:val="left" w:pos="2074"/>
        </w:tabs>
        <w:autoSpaceDE/>
        <w:autoSpaceDN/>
        <w:adjustRightInd/>
        <w:spacing w:line="80" w:lineRule="exact"/>
        <w:ind w:left="1454" w:right="835" w:hanging="187"/>
        <w:jc w:val="both"/>
        <w:rPr>
          <w:rFonts w:ascii="Times New Roman" w:cs="Times New Roman"/>
        </w:rPr>
      </w:pPr>
    </w:p>
    <w:p w:rsidR="00176C73" w:rsidRPr="00662BA1" w:rsidRDefault="00052537" w:rsidP="00BC6BB9">
      <w:pPr>
        <w:pStyle w:val="Default"/>
        <w:tabs>
          <w:tab w:val="left" w:pos="1440"/>
          <w:tab w:val="left" w:pos="2074"/>
        </w:tabs>
        <w:autoSpaceDE/>
        <w:autoSpaceDN/>
        <w:adjustRightInd/>
        <w:spacing w:before="360" w:line="360" w:lineRule="auto"/>
        <w:jc w:val="both"/>
        <w:rPr>
          <w:rFonts w:ascii="Times New Roman" w:cs="Times New Roman"/>
          <w:i/>
          <w:sz w:val="28"/>
          <w:szCs w:val="28"/>
        </w:rPr>
      </w:pPr>
      <w:r w:rsidRPr="00662BA1">
        <w:rPr>
          <w:rFonts w:ascii="Times New Roman" w:eastAsia="宋体" w:cs="Times New Roman"/>
          <w:color w:val="auto"/>
          <w:sz w:val="28"/>
        </w:rPr>
        <w:fldChar w:fldCharType="begin"/>
      </w:r>
      <w:r w:rsidR="00BC6BB9" w:rsidRPr="00662BA1">
        <w:rPr>
          <w:rFonts w:ascii="Times New Roman" w:eastAsia="宋体" w:cs="Times New Roman"/>
          <w:color w:val="auto"/>
          <w:sz w:val="28"/>
        </w:rPr>
        <w:instrText xml:space="preserve"> AUTONUMOUT  </w:instrText>
      </w:r>
      <w:r w:rsidRPr="00662BA1">
        <w:rPr>
          <w:rFonts w:ascii="Times New Roman" w:eastAsia="宋体" w:cs="Times New Roman"/>
          <w:color w:val="auto"/>
          <w:sz w:val="28"/>
        </w:rPr>
        <w:fldChar w:fldCharType="end"/>
      </w:r>
      <w:r w:rsidR="00BC6BB9" w:rsidRPr="00662BA1">
        <w:rPr>
          <w:rFonts w:ascii="Times New Roman" w:eastAsia="宋体" w:cs="Times New Roman"/>
          <w:color w:val="auto"/>
          <w:sz w:val="28"/>
        </w:rPr>
        <w:tab/>
      </w:r>
      <w:r w:rsidR="00176C73" w:rsidRPr="00662BA1">
        <w:rPr>
          <w:rFonts w:ascii="Times New Roman" w:cs="Times New Roman"/>
          <w:sz w:val="28"/>
          <w:szCs w:val="28"/>
        </w:rPr>
        <w:t>It appears that those changes were a response to concerns expressed in the judgment of the Court of Appeal delivered by Hooper</w:t>
      </w:r>
      <w:r w:rsidR="00BC6BB9" w:rsidRPr="00662BA1">
        <w:rPr>
          <w:rFonts w:ascii="Times New Roman" w:cs="Times New Roman"/>
          <w:sz w:val="28"/>
          <w:szCs w:val="28"/>
        </w:rPr>
        <w:t> </w:t>
      </w:r>
      <w:r w:rsidR="00176C73" w:rsidRPr="00662BA1">
        <w:rPr>
          <w:rFonts w:ascii="Times New Roman" w:cs="Times New Roman"/>
          <w:sz w:val="28"/>
          <w:szCs w:val="28"/>
        </w:rPr>
        <w:t xml:space="preserve">LJ in </w:t>
      </w:r>
      <w:r w:rsidR="00176C73" w:rsidRPr="00662BA1">
        <w:rPr>
          <w:rFonts w:ascii="Times New Roman" w:cs="Times New Roman"/>
          <w:i/>
          <w:sz w:val="28"/>
          <w:szCs w:val="28"/>
        </w:rPr>
        <w:t>R v Ali</w:t>
      </w:r>
      <w:r w:rsidR="00BC6BB9" w:rsidRPr="00662BA1">
        <w:rPr>
          <w:rFonts w:ascii="Times New Roman" w:cs="Times New Roman"/>
          <w:sz w:val="28"/>
          <w:szCs w:val="28"/>
        </w:rPr>
        <w:t> </w:t>
      </w:r>
      <w:r w:rsidR="00176C73" w:rsidRPr="00662BA1">
        <w:rPr>
          <w:rStyle w:val="FootnoteReference"/>
          <w:rFonts w:ascii="Times New Roman" w:cs="Times New Roman"/>
          <w:sz w:val="28"/>
          <w:szCs w:val="28"/>
        </w:rPr>
        <w:footnoteReference w:id="55"/>
      </w:r>
      <w:r w:rsidR="00176C73" w:rsidRPr="00662BA1">
        <w:rPr>
          <w:rFonts w:ascii="Times New Roman" w:cs="Times New Roman"/>
          <w:i/>
          <w:sz w:val="28"/>
          <w:szCs w:val="28"/>
        </w:rPr>
        <w:t xml:space="preserve"> </w:t>
      </w:r>
      <w:r w:rsidR="00176C73" w:rsidRPr="00662BA1">
        <w:rPr>
          <w:rFonts w:ascii="Times New Roman" w:cs="Times New Roman"/>
          <w:sz w:val="28"/>
          <w:szCs w:val="28"/>
        </w:rPr>
        <w:t xml:space="preserve">of the difficulties faced by the prosecution in bringing substantive charges of money laundering, rather than a charge of conspiracy. </w:t>
      </w:r>
    </w:p>
    <w:p w:rsidR="00176C73" w:rsidRPr="00662BA1" w:rsidRDefault="00BC6BB9" w:rsidP="00FC3D5B">
      <w:pPr>
        <w:pStyle w:val="Default"/>
        <w:tabs>
          <w:tab w:val="left" w:pos="2074"/>
        </w:tabs>
        <w:autoSpaceDE/>
        <w:autoSpaceDN/>
        <w:adjustRightInd/>
        <w:spacing w:before="240"/>
        <w:ind w:left="1454" w:right="835" w:hanging="187"/>
        <w:jc w:val="both"/>
        <w:rPr>
          <w:rFonts w:ascii="Times New Roman" w:cs="Times New Roman"/>
        </w:rPr>
      </w:pPr>
      <w:r w:rsidRPr="00662BA1">
        <w:rPr>
          <w:rFonts w:ascii="Times New Roman" w:cs="Times New Roman"/>
        </w:rPr>
        <w:t>“</w:t>
      </w:r>
      <w:r w:rsidRPr="00662BA1">
        <w:rPr>
          <w:rFonts w:ascii="Times New Roman" w:cs="Times New Roman"/>
        </w:rPr>
        <w:tab/>
      </w:r>
      <w:r w:rsidR="00176C73" w:rsidRPr="00662BA1">
        <w:rPr>
          <w:rFonts w:ascii="Times New Roman" w:cs="Times New Roman"/>
        </w:rPr>
        <w:t xml:space="preserve">Why then could the prosecution not charge the substantive offences? </w:t>
      </w:r>
      <w:r w:rsidRPr="00662BA1">
        <w:rPr>
          <w:rFonts w:ascii="Times New Roman" w:cs="Times New Roman"/>
        </w:rPr>
        <w:t xml:space="preserve"> </w:t>
      </w:r>
      <w:r w:rsidR="00176C73" w:rsidRPr="00662BA1">
        <w:rPr>
          <w:rFonts w:ascii="Times New Roman" w:cs="Times New Roman"/>
        </w:rPr>
        <w:t xml:space="preserve">The answer </w:t>
      </w:r>
      <w:proofErr w:type="spellStart"/>
      <w:r w:rsidR="00176C73" w:rsidRPr="00662BA1">
        <w:rPr>
          <w:rFonts w:ascii="Times New Roman" w:cs="Times New Roman"/>
        </w:rPr>
        <w:t>Mr</w:t>
      </w:r>
      <w:proofErr w:type="spellEnd"/>
      <w:r w:rsidR="00176C73" w:rsidRPr="00662BA1">
        <w:rPr>
          <w:rFonts w:ascii="Times New Roman" w:cs="Times New Roman"/>
        </w:rPr>
        <w:t xml:space="preserve"> Bethel gave was that each delivery of money would be a separate offence and would have to be charged separately, given the rul</w:t>
      </w:r>
      <w:r w:rsidRPr="00662BA1">
        <w:rPr>
          <w:rFonts w:ascii="Times New Roman" w:cs="Times New Roman"/>
        </w:rPr>
        <w:t>e against duplicity: see rule 4</w:t>
      </w:r>
      <w:r w:rsidR="00176C73" w:rsidRPr="00662BA1">
        <w:rPr>
          <w:rFonts w:ascii="Times New Roman" w:cs="Times New Roman"/>
        </w:rPr>
        <w:t>(2)</w:t>
      </w:r>
      <w:r w:rsidRPr="00662BA1">
        <w:rPr>
          <w:rFonts w:ascii="Times New Roman" w:cs="Times New Roman"/>
        </w:rPr>
        <w:t xml:space="preserve"> of the Indictment Rules 1971</w:t>
      </w:r>
      <w:proofErr w:type="gramStart"/>
      <w:r w:rsidRPr="00662BA1">
        <w:rPr>
          <w:rFonts w:ascii="Times New Roman" w:cs="Times New Roman"/>
        </w:rPr>
        <w:t>..”</w:t>
      </w:r>
      <w:proofErr w:type="gramEnd"/>
    </w:p>
    <w:p w:rsidR="00807C79" w:rsidRPr="00662BA1" w:rsidRDefault="00176C73" w:rsidP="00807C79">
      <w:pPr>
        <w:pStyle w:val="Default"/>
        <w:tabs>
          <w:tab w:val="left" w:pos="1440"/>
          <w:tab w:val="left" w:pos="2074"/>
        </w:tabs>
        <w:autoSpaceDE/>
        <w:autoSpaceDN/>
        <w:adjustRightInd/>
        <w:spacing w:before="360" w:line="360" w:lineRule="auto"/>
        <w:jc w:val="both"/>
        <w:rPr>
          <w:rFonts w:ascii="Times New Roman" w:cs="Times New Roman"/>
          <w:sz w:val="28"/>
          <w:szCs w:val="28"/>
        </w:rPr>
      </w:pPr>
      <w:r w:rsidRPr="00662BA1">
        <w:rPr>
          <w:rFonts w:ascii="Times New Roman" w:cs="Times New Roman"/>
          <w:sz w:val="28"/>
          <w:szCs w:val="28"/>
        </w:rPr>
        <w:t>That led Hooper LJ to suggest that considerat</w:t>
      </w:r>
      <w:r w:rsidR="00BC6BB9" w:rsidRPr="00662BA1">
        <w:rPr>
          <w:rFonts w:ascii="Times New Roman" w:cs="Times New Roman"/>
          <w:sz w:val="28"/>
          <w:szCs w:val="28"/>
        </w:rPr>
        <w:t>ion be given to amending rule 4</w:t>
      </w:r>
      <w:r w:rsidRPr="00662BA1">
        <w:rPr>
          <w:rFonts w:ascii="Times New Roman" w:cs="Times New Roman"/>
          <w:sz w:val="28"/>
          <w:szCs w:val="28"/>
        </w:rPr>
        <w:t>(2)</w:t>
      </w:r>
      <w:r w:rsidRPr="00662BA1">
        <w:rPr>
          <w:rStyle w:val="FootnoteReference"/>
          <w:rFonts w:ascii="Times New Roman" w:cs="Times New Roman"/>
          <w:sz w:val="28"/>
          <w:szCs w:val="28"/>
        </w:rPr>
        <w:footnoteReference w:id="56"/>
      </w:r>
      <w:r w:rsidRPr="00662BA1">
        <w:rPr>
          <w:rFonts w:ascii="Times New Roman" w:cs="Times New Roman"/>
          <w:sz w:val="28"/>
          <w:szCs w:val="28"/>
        </w:rPr>
        <w:t>.</w:t>
      </w:r>
    </w:p>
    <w:p w:rsidR="00176C73" w:rsidRPr="00662BA1" w:rsidRDefault="00052537" w:rsidP="00807C79">
      <w:pPr>
        <w:pStyle w:val="Default"/>
        <w:tabs>
          <w:tab w:val="left" w:pos="1440"/>
          <w:tab w:val="left" w:pos="2074"/>
        </w:tabs>
        <w:autoSpaceDE/>
        <w:autoSpaceDN/>
        <w:adjustRightInd/>
        <w:spacing w:before="360" w:line="360" w:lineRule="auto"/>
        <w:jc w:val="both"/>
        <w:rPr>
          <w:rFonts w:ascii="Times New Roman" w:cs="Times New Roman"/>
          <w:sz w:val="28"/>
          <w:szCs w:val="28"/>
        </w:rPr>
      </w:pPr>
      <w:r w:rsidRPr="00662BA1">
        <w:rPr>
          <w:rFonts w:ascii="Times New Roman" w:eastAsia="宋体" w:cs="Times New Roman"/>
          <w:color w:val="auto"/>
          <w:sz w:val="28"/>
          <w:szCs w:val="28"/>
        </w:rPr>
        <w:fldChar w:fldCharType="begin"/>
      </w:r>
      <w:r w:rsidR="00807C79" w:rsidRPr="00662BA1">
        <w:rPr>
          <w:rFonts w:ascii="Times New Roman" w:eastAsia="宋体" w:cs="Times New Roman"/>
          <w:color w:val="auto"/>
          <w:sz w:val="28"/>
          <w:szCs w:val="28"/>
        </w:rPr>
        <w:instrText xml:space="preserve"> AUTONUMOUT  </w:instrText>
      </w:r>
      <w:r w:rsidRPr="00662BA1">
        <w:rPr>
          <w:rFonts w:ascii="Times New Roman" w:eastAsia="宋体" w:cs="Times New Roman"/>
          <w:color w:val="auto"/>
          <w:sz w:val="28"/>
          <w:szCs w:val="28"/>
        </w:rPr>
        <w:fldChar w:fldCharType="end"/>
      </w:r>
      <w:r w:rsidR="00807C79" w:rsidRPr="00662BA1">
        <w:rPr>
          <w:rFonts w:ascii="Times New Roman" w:eastAsia="宋体" w:cs="Times New Roman"/>
          <w:color w:val="auto"/>
          <w:sz w:val="28"/>
          <w:szCs w:val="28"/>
        </w:rPr>
        <w:tab/>
      </w:r>
      <w:r w:rsidR="00176C73" w:rsidRPr="00662BA1">
        <w:rPr>
          <w:rFonts w:ascii="Times New Roman" w:cs="Times New Roman"/>
          <w:sz w:val="28"/>
          <w:szCs w:val="28"/>
        </w:rPr>
        <w:t>The related Criminal Practice Direction provided:</w:t>
      </w:r>
      <w:r w:rsidR="00176C73" w:rsidRPr="00662BA1">
        <w:rPr>
          <w:rStyle w:val="FootnoteReference"/>
          <w:rFonts w:ascii="Times New Roman" w:cs="Times New Roman"/>
          <w:sz w:val="28"/>
          <w:szCs w:val="28"/>
        </w:rPr>
        <w:footnoteReference w:id="57"/>
      </w:r>
    </w:p>
    <w:p w:rsidR="00176C73" w:rsidRPr="00662BA1" w:rsidRDefault="00807C79" w:rsidP="00807C79">
      <w:pPr>
        <w:tabs>
          <w:tab w:val="clear" w:pos="4320"/>
          <w:tab w:val="clear" w:pos="9072"/>
          <w:tab w:val="left" w:pos="2074"/>
        </w:tabs>
        <w:snapToGrid/>
        <w:spacing w:before="240"/>
        <w:ind w:left="1454" w:right="835" w:hanging="187"/>
        <w:jc w:val="both"/>
        <w:rPr>
          <w:color w:val="000000"/>
          <w:sz w:val="24"/>
          <w:szCs w:val="24"/>
        </w:rPr>
      </w:pPr>
      <w:r w:rsidRPr="00662BA1">
        <w:rPr>
          <w:color w:val="000000"/>
          <w:sz w:val="24"/>
          <w:szCs w:val="24"/>
        </w:rPr>
        <w:t>“</w:t>
      </w:r>
      <w:r w:rsidRPr="00662BA1">
        <w:rPr>
          <w:color w:val="000000"/>
          <w:sz w:val="24"/>
          <w:szCs w:val="24"/>
        </w:rPr>
        <w:tab/>
      </w:r>
      <w:r w:rsidR="00176C73" w:rsidRPr="00662BA1">
        <w:rPr>
          <w:color w:val="000000"/>
          <w:sz w:val="24"/>
          <w:szCs w:val="24"/>
        </w:rPr>
        <w:t xml:space="preserve">14A.10 Rule 14.2(2) of the Criminal Procedure Rules allows a single count to allege more than one incident of the commission of an offence in certain circumstances. </w:t>
      </w:r>
      <w:r w:rsidRPr="00662BA1">
        <w:rPr>
          <w:color w:val="000000"/>
          <w:sz w:val="24"/>
          <w:szCs w:val="24"/>
        </w:rPr>
        <w:t xml:space="preserve"> </w:t>
      </w:r>
      <w:r w:rsidR="00176C73" w:rsidRPr="00662BA1">
        <w:rPr>
          <w:color w:val="000000"/>
          <w:sz w:val="24"/>
          <w:szCs w:val="24"/>
        </w:rPr>
        <w:t xml:space="preserve">Each incident must be of the same offence. </w:t>
      </w:r>
      <w:r w:rsidR="003329C0">
        <w:rPr>
          <w:color w:val="000000"/>
          <w:sz w:val="24"/>
          <w:szCs w:val="24"/>
        </w:rPr>
        <w:t xml:space="preserve"> </w:t>
      </w:r>
      <w:r w:rsidR="00176C73" w:rsidRPr="00662BA1">
        <w:rPr>
          <w:color w:val="000000"/>
          <w:sz w:val="24"/>
          <w:szCs w:val="24"/>
        </w:rPr>
        <w:t>The circumstances in which such a count may be appropriate include, but are not limited to, the following:</w:t>
      </w:r>
    </w:p>
    <w:p w:rsidR="00176C73" w:rsidRPr="00662BA1" w:rsidRDefault="00176C73" w:rsidP="00DC25D9">
      <w:pPr>
        <w:numPr>
          <w:ilvl w:val="0"/>
          <w:numId w:val="6"/>
        </w:numPr>
        <w:tabs>
          <w:tab w:val="clear" w:pos="4320"/>
          <w:tab w:val="clear" w:pos="9072"/>
          <w:tab w:val="left" w:pos="2160"/>
        </w:tabs>
        <w:autoSpaceDE w:val="0"/>
        <w:autoSpaceDN w:val="0"/>
        <w:adjustRightInd w:val="0"/>
        <w:spacing w:before="240"/>
        <w:ind w:left="2160" w:right="1195" w:hanging="446"/>
        <w:jc w:val="both"/>
        <w:rPr>
          <w:color w:val="000000"/>
          <w:sz w:val="24"/>
          <w:szCs w:val="24"/>
        </w:rPr>
      </w:pPr>
      <w:r w:rsidRPr="00662BA1">
        <w:rPr>
          <w:color w:val="000000"/>
          <w:sz w:val="24"/>
          <w:szCs w:val="24"/>
        </w:rPr>
        <w:t xml:space="preserve">the victim on each occasion was the same, or there was no identifiable individual victim as, for example, in a case of the unlawful importation of controlled drugs or of money laundering; </w:t>
      </w:r>
    </w:p>
    <w:p w:rsidR="00176C73" w:rsidRPr="00662BA1" w:rsidRDefault="00176C73" w:rsidP="00DC25D9">
      <w:pPr>
        <w:numPr>
          <w:ilvl w:val="0"/>
          <w:numId w:val="6"/>
        </w:numPr>
        <w:tabs>
          <w:tab w:val="clear" w:pos="4320"/>
          <w:tab w:val="clear" w:pos="9072"/>
          <w:tab w:val="left" w:pos="2160"/>
        </w:tabs>
        <w:autoSpaceDE w:val="0"/>
        <w:autoSpaceDN w:val="0"/>
        <w:adjustRightInd w:val="0"/>
        <w:spacing w:before="240"/>
        <w:ind w:left="2160" w:right="1195" w:hanging="446"/>
        <w:jc w:val="both"/>
        <w:rPr>
          <w:color w:val="000000"/>
          <w:sz w:val="24"/>
          <w:szCs w:val="24"/>
        </w:rPr>
      </w:pPr>
      <w:r w:rsidRPr="00662BA1">
        <w:rPr>
          <w:color w:val="000000"/>
          <w:sz w:val="24"/>
          <w:szCs w:val="24"/>
        </w:rPr>
        <w:t>the alleged incidents involved a marked degree of repetition and the methods employed or in their location, or both;</w:t>
      </w:r>
    </w:p>
    <w:p w:rsidR="00176C73" w:rsidRPr="00662BA1" w:rsidRDefault="00176C73" w:rsidP="00DC25D9">
      <w:pPr>
        <w:numPr>
          <w:ilvl w:val="0"/>
          <w:numId w:val="6"/>
        </w:numPr>
        <w:tabs>
          <w:tab w:val="clear" w:pos="4320"/>
          <w:tab w:val="clear" w:pos="9072"/>
          <w:tab w:val="left" w:pos="2160"/>
        </w:tabs>
        <w:autoSpaceDE w:val="0"/>
        <w:autoSpaceDN w:val="0"/>
        <w:adjustRightInd w:val="0"/>
        <w:spacing w:before="240"/>
        <w:ind w:left="2160" w:right="1195" w:hanging="446"/>
        <w:jc w:val="both"/>
        <w:rPr>
          <w:color w:val="000000"/>
          <w:sz w:val="24"/>
          <w:szCs w:val="24"/>
        </w:rPr>
      </w:pPr>
      <w:r w:rsidRPr="00662BA1">
        <w:rPr>
          <w:color w:val="000000"/>
          <w:sz w:val="24"/>
          <w:szCs w:val="24"/>
        </w:rPr>
        <w:t>the alleged incidents took place over a clearly defined period, typically (but not necessarily) no more than about a year;</w:t>
      </w:r>
    </w:p>
    <w:p w:rsidR="00FC3D5B" w:rsidRPr="00662BA1" w:rsidRDefault="00176C73" w:rsidP="00DC25D9">
      <w:pPr>
        <w:numPr>
          <w:ilvl w:val="0"/>
          <w:numId w:val="6"/>
        </w:numPr>
        <w:tabs>
          <w:tab w:val="clear" w:pos="4320"/>
          <w:tab w:val="clear" w:pos="9072"/>
          <w:tab w:val="left" w:pos="2160"/>
        </w:tabs>
        <w:autoSpaceDE w:val="0"/>
        <w:autoSpaceDN w:val="0"/>
        <w:adjustRightInd w:val="0"/>
        <w:spacing w:before="240"/>
        <w:ind w:left="2160" w:right="1195" w:hanging="446"/>
        <w:jc w:val="both"/>
        <w:rPr>
          <w:color w:val="000000"/>
          <w:sz w:val="24"/>
          <w:szCs w:val="24"/>
        </w:rPr>
      </w:pPr>
      <w:proofErr w:type="gramStart"/>
      <w:r w:rsidRPr="00662BA1">
        <w:rPr>
          <w:color w:val="000000"/>
          <w:sz w:val="24"/>
          <w:szCs w:val="24"/>
        </w:rPr>
        <w:t>in</w:t>
      </w:r>
      <w:proofErr w:type="gramEnd"/>
      <w:r w:rsidRPr="00662BA1">
        <w:rPr>
          <w:color w:val="000000"/>
          <w:sz w:val="24"/>
          <w:szCs w:val="24"/>
        </w:rPr>
        <w:t xml:space="preserve"> any event, the defence is such as to apply to every alleged incident without differentiation. </w:t>
      </w:r>
      <w:r w:rsidR="00807C79" w:rsidRPr="00662BA1">
        <w:rPr>
          <w:color w:val="000000"/>
          <w:sz w:val="24"/>
          <w:szCs w:val="24"/>
        </w:rPr>
        <w:t xml:space="preserve"> </w:t>
      </w:r>
      <w:r w:rsidRPr="00662BA1">
        <w:rPr>
          <w:i/>
          <w:color w:val="000000"/>
          <w:sz w:val="24"/>
          <w:szCs w:val="24"/>
        </w:rPr>
        <w:t>Where what is in issue differs</w:t>
      </w:r>
      <w:r w:rsidRPr="00662BA1">
        <w:rPr>
          <w:color w:val="000000"/>
          <w:sz w:val="24"/>
          <w:szCs w:val="24"/>
        </w:rPr>
        <w:t xml:space="preserve"> </w:t>
      </w:r>
      <w:r w:rsidRPr="00662BA1">
        <w:rPr>
          <w:i/>
          <w:color w:val="000000"/>
          <w:sz w:val="24"/>
          <w:szCs w:val="24"/>
        </w:rPr>
        <w:t xml:space="preserve">between different incidents, a single ‘multiple incidents’ count will not be appropriate, </w:t>
      </w:r>
      <w:r w:rsidRPr="00662BA1">
        <w:rPr>
          <w:color w:val="000000"/>
          <w:sz w:val="24"/>
          <w:szCs w:val="24"/>
        </w:rPr>
        <w:t>though it may be appropriate to use two or more such counts according to the circumstances and to th</w:t>
      </w:r>
      <w:r w:rsidR="00807C79" w:rsidRPr="00662BA1">
        <w:rPr>
          <w:color w:val="000000"/>
          <w:sz w:val="24"/>
          <w:szCs w:val="24"/>
        </w:rPr>
        <w:t xml:space="preserve">e issues raised by the defence.” </w:t>
      </w:r>
      <w:r w:rsidRPr="00662BA1">
        <w:rPr>
          <w:color w:val="000000"/>
          <w:sz w:val="24"/>
          <w:szCs w:val="24"/>
        </w:rPr>
        <w:t xml:space="preserve"> [Italics added.]</w:t>
      </w:r>
    </w:p>
    <w:p w:rsidR="00807C79" w:rsidRPr="00662BA1" w:rsidRDefault="00807C79" w:rsidP="00FC3D5B">
      <w:pPr>
        <w:tabs>
          <w:tab w:val="clear" w:pos="4320"/>
          <w:tab w:val="clear" w:pos="9072"/>
          <w:tab w:val="left" w:pos="2160"/>
        </w:tabs>
        <w:snapToGrid/>
        <w:spacing w:line="80" w:lineRule="exact"/>
        <w:ind w:left="1267" w:right="835"/>
        <w:jc w:val="both"/>
        <w:rPr>
          <w:color w:val="000000"/>
          <w:sz w:val="24"/>
          <w:szCs w:val="24"/>
        </w:rPr>
      </w:pPr>
    </w:p>
    <w:p w:rsidR="00807C79" w:rsidRPr="00662BA1" w:rsidRDefault="00807C79" w:rsidP="00807C79">
      <w:pPr>
        <w:tabs>
          <w:tab w:val="clear" w:pos="4320"/>
          <w:tab w:val="clear" w:pos="9072"/>
          <w:tab w:val="left" w:pos="2160"/>
        </w:tabs>
        <w:snapToGrid/>
        <w:spacing w:line="80" w:lineRule="exact"/>
        <w:ind w:left="1267" w:right="835"/>
        <w:jc w:val="both"/>
        <w:rPr>
          <w:color w:val="000000"/>
          <w:sz w:val="24"/>
          <w:szCs w:val="24"/>
        </w:rPr>
      </w:pPr>
    </w:p>
    <w:p w:rsidR="00176C73" w:rsidRPr="00662BA1" w:rsidRDefault="00052537" w:rsidP="00807C79">
      <w:pPr>
        <w:tabs>
          <w:tab w:val="clear" w:pos="4320"/>
          <w:tab w:val="clear" w:pos="9072"/>
          <w:tab w:val="left" w:pos="2160"/>
        </w:tabs>
        <w:snapToGrid/>
        <w:spacing w:before="360" w:line="360" w:lineRule="auto"/>
        <w:jc w:val="both"/>
        <w:rPr>
          <w:szCs w:val="24"/>
        </w:rPr>
      </w:pPr>
      <w:r w:rsidRPr="00662BA1">
        <w:rPr>
          <w:szCs w:val="24"/>
        </w:rPr>
        <w:fldChar w:fldCharType="begin"/>
      </w:r>
      <w:r w:rsidR="00807C79" w:rsidRPr="00662BA1">
        <w:rPr>
          <w:szCs w:val="24"/>
        </w:rPr>
        <w:instrText xml:space="preserve"> AUTONUMOUT  </w:instrText>
      </w:r>
      <w:r w:rsidRPr="00662BA1">
        <w:rPr>
          <w:szCs w:val="24"/>
        </w:rPr>
        <w:fldChar w:fldCharType="end"/>
      </w:r>
      <w:r w:rsidR="00807C79" w:rsidRPr="00662BA1">
        <w:rPr>
          <w:szCs w:val="24"/>
        </w:rPr>
        <w:tab/>
      </w:r>
      <w:r w:rsidR="00176C73" w:rsidRPr="00662BA1">
        <w:rPr>
          <w:szCs w:val="28"/>
        </w:rPr>
        <w:t xml:space="preserve">In </w:t>
      </w:r>
      <w:r w:rsidR="00176C73" w:rsidRPr="00662BA1">
        <w:rPr>
          <w:i/>
          <w:szCs w:val="28"/>
        </w:rPr>
        <w:t>R v Middleton</w:t>
      </w:r>
      <w:r w:rsidR="00176C73" w:rsidRPr="00662BA1">
        <w:rPr>
          <w:szCs w:val="28"/>
        </w:rPr>
        <w:t>, the Court of Appeal of England and Wales noted that the trial of the applicants on counts that included ‘money laundering’ counts was governed by the Criminal Procedure Rules 2005.</w:t>
      </w:r>
      <w:r w:rsidR="00176C73" w:rsidRPr="00662BA1">
        <w:rPr>
          <w:rStyle w:val="FootnoteReference"/>
          <w:szCs w:val="28"/>
        </w:rPr>
        <w:footnoteReference w:id="58"/>
      </w:r>
      <w:r w:rsidR="00176C73" w:rsidRPr="00662BA1">
        <w:rPr>
          <w:szCs w:val="28"/>
        </w:rPr>
        <w:t xml:space="preserve"> </w:t>
      </w:r>
      <w:r w:rsidR="005C696A" w:rsidRPr="00662BA1">
        <w:rPr>
          <w:szCs w:val="28"/>
        </w:rPr>
        <w:t xml:space="preserve"> </w:t>
      </w:r>
      <w:r w:rsidR="00176C73" w:rsidRPr="00662BA1">
        <w:rPr>
          <w:szCs w:val="28"/>
        </w:rPr>
        <w:t>In the judgment of the Court, Wilkes J noted that the Criminal Procedure Rules Committee consi</w:t>
      </w:r>
      <w:r w:rsidR="005C696A" w:rsidRPr="00662BA1">
        <w:rPr>
          <w:szCs w:val="28"/>
        </w:rPr>
        <w:t>dered that, in formulating rule </w:t>
      </w:r>
      <w:r w:rsidR="00176C73" w:rsidRPr="00662BA1">
        <w:rPr>
          <w:szCs w:val="28"/>
        </w:rPr>
        <w:t>14.2(2) of the Criminal Procedure Rules and in giving guidance in the Practice Direction, they were doing no more than codifying the existing law and went on to approve of the surmise of the editors of</w:t>
      </w:r>
      <w:r w:rsidR="00176C73" w:rsidRPr="00662BA1">
        <w:rPr>
          <w:i/>
          <w:szCs w:val="28"/>
        </w:rPr>
        <w:t xml:space="preserve"> </w:t>
      </w:r>
      <w:proofErr w:type="spellStart"/>
      <w:r w:rsidR="00176C73" w:rsidRPr="00662BA1">
        <w:rPr>
          <w:i/>
          <w:szCs w:val="28"/>
        </w:rPr>
        <w:t>Archbold</w:t>
      </w:r>
      <w:proofErr w:type="spellEnd"/>
      <w:r w:rsidR="00176C73" w:rsidRPr="00662BA1">
        <w:rPr>
          <w:i/>
          <w:szCs w:val="28"/>
        </w:rPr>
        <w:t xml:space="preserve"> </w:t>
      </w:r>
      <w:r w:rsidR="00176C73" w:rsidRPr="00662BA1">
        <w:rPr>
          <w:szCs w:val="28"/>
        </w:rPr>
        <w:t xml:space="preserve">that the Committee had in mind the speech of Lord </w:t>
      </w:r>
      <w:proofErr w:type="spellStart"/>
      <w:r w:rsidR="00176C73" w:rsidRPr="00662BA1">
        <w:rPr>
          <w:szCs w:val="28"/>
        </w:rPr>
        <w:t>Diplock</w:t>
      </w:r>
      <w:proofErr w:type="spellEnd"/>
      <w:r w:rsidR="00176C73" w:rsidRPr="00662BA1">
        <w:rPr>
          <w:szCs w:val="28"/>
        </w:rPr>
        <w:t xml:space="preserve"> in </w:t>
      </w:r>
      <w:r w:rsidR="00176C73" w:rsidRPr="00662BA1">
        <w:rPr>
          <w:i/>
          <w:szCs w:val="28"/>
        </w:rPr>
        <w:t>Merriman</w:t>
      </w:r>
      <w:r w:rsidR="005C696A" w:rsidRPr="00662BA1">
        <w:rPr>
          <w:szCs w:val="28"/>
        </w:rPr>
        <w:t xml:space="preserve"> at page 607</w:t>
      </w:r>
      <w:r w:rsidR="003329C0">
        <w:rPr>
          <w:szCs w:val="28"/>
        </w:rPr>
        <w:t> </w:t>
      </w:r>
      <w:r w:rsidR="005C696A" w:rsidRPr="00662BA1">
        <w:rPr>
          <w:szCs w:val="28"/>
        </w:rPr>
        <w:t>C.  The Court found that the two</w:t>
      </w:r>
      <w:r w:rsidR="00176C73" w:rsidRPr="00662BA1">
        <w:rPr>
          <w:szCs w:val="28"/>
        </w:rPr>
        <w:t xml:space="preserve"> counts of which the appellants were convicted after trial were not duplicitous</w:t>
      </w:r>
      <w:r w:rsidR="00176C73" w:rsidRPr="00662BA1">
        <w:rPr>
          <w:rStyle w:val="FootnoteReference"/>
          <w:szCs w:val="28"/>
        </w:rPr>
        <w:footnoteReference w:id="59"/>
      </w:r>
      <w:r w:rsidR="00176C73" w:rsidRPr="00662BA1">
        <w:rPr>
          <w:szCs w:val="28"/>
        </w:rPr>
        <w:t xml:space="preserve"> and that it was legitimate for the Crown to have proceeded on cou</w:t>
      </w:r>
      <w:r w:rsidR="005C696A" w:rsidRPr="00662BA1">
        <w:rPr>
          <w:szCs w:val="28"/>
        </w:rPr>
        <w:t>nts which alleged “</w:t>
      </w:r>
      <w:r w:rsidR="00176C73" w:rsidRPr="00662BA1">
        <w:rPr>
          <w:szCs w:val="28"/>
        </w:rPr>
        <w:t>general deficiency</w:t>
      </w:r>
      <w:r w:rsidR="005C696A" w:rsidRPr="00662BA1">
        <w:rPr>
          <w:szCs w:val="28"/>
        </w:rPr>
        <w:t>” </w:t>
      </w:r>
      <w:r w:rsidR="00176C73" w:rsidRPr="00662BA1">
        <w:rPr>
          <w:rStyle w:val="FootnoteReference"/>
          <w:szCs w:val="28"/>
        </w:rPr>
        <w:footnoteReference w:id="60"/>
      </w:r>
      <w:r w:rsidR="00176C73" w:rsidRPr="00662BA1">
        <w:rPr>
          <w:szCs w:val="28"/>
        </w:rPr>
        <w:t xml:space="preserve"> and that in so proceeding there was no unfairness to the appellants. </w:t>
      </w:r>
    </w:p>
    <w:p w:rsidR="005C696A" w:rsidRPr="00662BA1" w:rsidRDefault="00052537" w:rsidP="003B6D02">
      <w:pPr>
        <w:tabs>
          <w:tab w:val="clear" w:pos="4320"/>
          <w:tab w:val="clear" w:pos="9072"/>
        </w:tabs>
        <w:snapToGrid/>
        <w:spacing w:before="360" w:line="360" w:lineRule="auto"/>
        <w:jc w:val="both"/>
        <w:rPr>
          <w:szCs w:val="28"/>
        </w:rPr>
      </w:pPr>
      <w:r w:rsidRPr="00662BA1">
        <w:rPr>
          <w:szCs w:val="28"/>
        </w:rPr>
        <w:fldChar w:fldCharType="begin"/>
      </w:r>
      <w:r w:rsidR="005C696A" w:rsidRPr="00662BA1">
        <w:rPr>
          <w:szCs w:val="28"/>
        </w:rPr>
        <w:instrText xml:space="preserve"> AUTONUMOUT  </w:instrText>
      </w:r>
      <w:r w:rsidRPr="00662BA1">
        <w:rPr>
          <w:szCs w:val="28"/>
        </w:rPr>
        <w:fldChar w:fldCharType="end"/>
      </w:r>
      <w:r w:rsidR="005C696A" w:rsidRPr="00662BA1">
        <w:rPr>
          <w:szCs w:val="28"/>
        </w:rPr>
        <w:tab/>
      </w:r>
      <w:r w:rsidR="00176C73" w:rsidRPr="00662BA1">
        <w:rPr>
          <w:szCs w:val="28"/>
        </w:rPr>
        <w:t xml:space="preserve">The counts alleged that the appellants had converted criminal property on multiple occasions, for the purpose of avoiding prosecution, for a period of just over </w:t>
      </w:r>
      <w:r w:rsidR="005C696A" w:rsidRPr="00662BA1">
        <w:rPr>
          <w:szCs w:val="28"/>
        </w:rPr>
        <w:t>three years (Count </w:t>
      </w:r>
      <w:r w:rsidR="00176C73" w:rsidRPr="00662BA1">
        <w:rPr>
          <w:szCs w:val="28"/>
        </w:rPr>
        <w:t>1), contrary to section 49</w:t>
      </w:r>
      <w:r w:rsidR="005C696A" w:rsidRPr="00662BA1">
        <w:rPr>
          <w:szCs w:val="28"/>
        </w:rPr>
        <w:t>(1</w:t>
      </w:r>
      <w:proofErr w:type="gramStart"/>
      <w:r w:rsidR="005C696A" w:rsidRPr="00662BA1">
        <w:rPr>
          <w:szCs w:val="28"/>
        </w:rPr>
        <w:t>)</w:t>
      </w:r>
      <w:r w:rsidR="00176C73" w:rsidRPr="00662BA1">
        <w:rPr>
          <w:szCs w:val="28"/>
        </w:rPr>
        <w:t>(</w:t>
      </w:r>
      <w:proofErr w:type="gramEnd"/>
      <w:r w:rsidR="00176C73" w:rsidRPr="00662BA1">
        <w:rPr>
          <w:szCs w:val="28"/>
        </w:rPr>
        <w:t xml:space="preserve">b) of the Drug Trafficking Act 1994, and for just over </w:t>
      </w:r>
      <w:r w:rsidR="003329C0">
        <w:rPr>
          <w:szCs w:val="28"/>
        </w:rPr>
        <w:t>two years (Count </w:t>
      </w:r>
      <w:r w:rsidR="005C696A" w:rsidRPr="00662BA1">
        <w:rPr>
          <w:szCs w:val="28"/>
        </w:rPr>
        <w:t>2), contrary to section 327</w:t>
      </w:r>
      <w:r w:rsidR="00176C73" w:rsidRPr="00662BA1">
        <w:rPr>
          <w:szCs w:val="28"/>
        </w:rPr>
        <w:t xml:space="preserve">(1)(c) of the Proceeds of Crime Act 2002. </w:t>
      </w:r>
      <w:r w:rsidR="005C696A" w:rsidRPr="00662BA1">
        <w:rPr>
          <w:szCs w:val="28"/>
        </w:rPr>
        <w:t xml:space="preserve"> </w:t>
      </w:r>
      <w:r w:rsidR="00176C73" w:rsidRPr="00662BA1">
        <w:rPr>
          <w:szCs w:val="28"/>
        </w:rPr>
        <w:t>Given that it was the prosecution case that ev</w:t>
      </w:r>
      <w:r w:rsidR="005C696A" w:rsidRPr="00662BA1">
        <w:rPr>
          <w:szCs w:val="28"/>
        </w:rPr>
        <w:t>ery financial transaction by Mr </w:t>
      </w:r>
      <w:r w:rsidR="00176C73" w:rsidRPr="00662BA1">
        <w:rPr>
          <w:szCs w:val="28"/>
        </w:rPr>
        <w:t>Middleton in the stipulated period was the conversion of the proceeds of drug trafficking there was no dispute that if each discrete offence</w:t>
      </w:r>
      <w:r w:rsidR="005C696A" w:rsidRPr="00662BA1">
        <w:rPr>
          <w:szCs w:val="28"/>
        </w:rPr>
        <w:t xml:space="preserve"> was identified there would be “</w:t>
      </w:r>
      <w:r w:rsidR="00176C73" w:rsidRPr="00662BA1">
        <w:rPr>
          <w:szCs w:val="28"/>
        </w:rPr>
        <w:t>hundreds, indeed thousands</w:t>
      </w:r>
      <w:r w:rsidR="005C696A" w:rsidRPr="00662BA1">
        <w:rPr>
          <w:szCs w:val="28"/>
        </w:rPr>
        <w:t>”</w:t>
      </w:r>
      <w:r w:rsidR="00176C73" w:rsidRPr="00662BA1">
        <w:rPr>
          <w:szCs w:val="28"/>
        </w:rPr>
        <w:t xml:space="preserve"> of offences.</w:t>
      </w:r>
      <w:r w:rsidR="00176C73" w:rsidRPr="00662BA1">
        <w:rPr>
          <w:rStyle w:val="FootnoteReference"/>
          <w:szCs w:val="28"/>
        </w:rPr>
        <w:footnoteReference w:id="61"/>
      </w:r>
      <w:r w:rsidR="00176C73" w:rsidRPr="00662BA1">
        <w:rPr>
          <w:szCs w:val="28"/>
        </w:rPr>
        <w:t xml:space="preserve"> </w:t>
      </w:r>
      <w:r w:rsidR="005C696A" w:rsidRPr="00662BA1">
        <w:rPr>
          <w:szCs w:val="28"/>
        </w:rPr>
        <w:t xml:space="preserve"> </w:t>
      </w:r>
      <w:r w:rsidR="00176C73" w:rsidRPr="00662BA1">
        <w:rPr>
          <w:szCs w:val="28"/>
        </w:rPr>
        <w:t>In reaching its conclusion, the Cour</w:t>
      </w:r>
      <w:r w:rsidR="005C696A" w:rsidRPr="00662BA1">
        <w:rPr>
          <w:szCs w:val="28"/>
        </w:rPr>
        <w:t>t said that it would have been “</w:t>
      </w:r>
      <w:r w:rsidR="00176C73" w:rsidRPr="00662BA1">
        <w:rPr>
          <w:szCs w:val="28"/>
        </w:rPr>
        <w:t xml:space="preserve">unduly oppressive and onerous for the prosecution to have identified each and every individual </w:t>
      </w:r>
      <w:r w:rsidR="005C696A" w:rsidRPr="00662BA1">
        <w:rPr>
          <w:szCs w:val="28"/>
        </w:rPr>
        <w:t>transaction as separate counts</w:t>
      </w:r>
      <w:proofErr w:type="gramStart"/>
      <w:r w:rsidR="005C696A" w:rsidRPr="00662BA1">
        <w:rPr>
          <w:szCs w:val="28"/>
        </w:rPr>
        <w:t>”</w:t>
      </w:r>
      <w:r w:rsidR="00AB276B" w:rsidRPr="00AB276B">
        <w:rPr>
          <w:szCs w:val="28"/>
        </w:rPr>
        <w:t xml:space="preserve"> </w:t>
      </w:r>
      <w:r w:rsidR="00AB276B" w:rsidRPr="00662BA1">
        <w:rPr>
          <w:szCs w:val="28"/>
        </w:rPr>
        <w:t>.</w:t>
      </w:r>
      <w:proofErr w:type="gramEnd"/>
    </w:p>
    <w:p w:rsidR="00AC2E71" w:rsidRDefault="00052537" w:rsidP="00AC2E71">
      <w:pPr>
        <w:tabs>
          <w:tab w:val="clear" w:pos="4320"/>
          <w:tab w:val="clear" w:pos="9072"/>
        </w:tabs>
        <w:snapToGrid/>
        <w:spacing w:before="360" w:line="360" w:lineRule="auto"/>
        <w:jc w:val="both"/>
        <w:rPr>
          <w:szCs w:val="28"/>
        </w:rPr>
      </w:pPr>
      <w:r w:rsidRPr="00662BA1">
        <w:rPr>
          <w:szCs w:val="28"/>
        </w:rPr>
        <w:fldChar w:fldCharType="begin"/>
      </w:r>
      <w:r w:rsidR="005C696A" w:rsidRPr="00662BA1">
        <w:rPr>
          <w:szCs w:val="28"/>
        </w:rPr>
        <w:instrText xml:space="preserve"> AUTONUMOUT  </w:instrText>
      </w:r>
      <w:r w:rsidRPr="00662BA1">
        <w:rPr>
          <w:szCs w:val="28"/>
        </w:rPr>
        <w:fldChar w:fldCharType="end"/>
      </w:r>
      <w:r w:rsidR="005C696A" w:rsidRPr="00662BA1">
        <w:rPr>
          <w:szCs w:val="28"/>
        </w:rPr>
        <w:tab/>
      </w:r>
      <w:r w:rsidR="00176C73" w:rsidRPr="00662BA1">
        <w:rPr>
          <w:szCs w:val="28"/>
        </w:rPr>
        <w:t xml:space="preserve">As Ms Montgomery pointed out, it appears that the Court in </w:t>
      </w:r>
      <w:r w:rsidR="00176C73" w:rsidRPr="00662BA1">
        <w:rPr>
          <w:i/>
          <w:szCs w:val="28"/>
        </w:rPr>
        <w:t>Middleton</w:t>
      </w:r>
      <w:r w:rsidR="00176C73" w:rsidRPr="00662BA1">
        <w:rPr>
          <w:szCs w:val="28"/>
        </w:rPr>
        <w:t xml:space="preserve"> was not referred to the earlier judgment of a differently constituted court in </w:t>
      </w:r>
      <w:r w:rsidR="00176C73" w:rsidRPr="00662BA1">
        <w:rPr>
          <w:i/>
          <w:szCs w:val="28"/>
        </w:rPr>
        <w:t xml:space="preserve">R v </w:t>
      </w:r>
      <w:proofErr w:type="gramStart"/>
      <w:r w:rsidR="00176C73" w:rsidRPr="00662BA1">
        <w:rPr>
          <w:i/>
          <w:szCs w:val="28"/>
        </w:rPr>
        <w:t>R</w:t>
      </w:r>
      <w:r w:rsidR="00F57656" w:rsidRPr="00662BA1">
        <w:rPr>
          <w:i/>
          <w:szCs w:val="28"/>
        </w:rPr>
        <w:t xml:space="preserve"> </w:t>
      </w:r>
      <w:proofErr w:type="gramEnd"/>
      <w:r w:rsidR="00176C73" w:rsidRPr="00662BA1">
        <w:rPr>
          <w:rStyle w:val="FootnoteReference"/>
          <w:szCs w:val="28"/>
        </w:rPr>
        <w:footnoteReference w:id="62"/>
      </w:r>
      <w:r w:rsidR="00176C73" w:rsidRPr="00662BA1">
        <w:rPr>
          <w:szCs w:val="28"/>
        </w:rPr>
        <w:t>.</w:t>
      </w:r>
      <w:r w:rsidR="00F57656" w:rsidRPr="00662BA1">
        <w:rPr>
          <w:szCs w:val="28"/>
        </w:rPr>
        <w:t xml:space="preserve">  </w:t>
      </w:r>
      <w:r w:rsidR="00176C73" w:rsidRPr="00662BA1">
        <w:rPr>
          <w:szCs w:val="28"/>
        </w:rPr>
        <w:t>In that case, in the context of a consideration of substituting convictions for conspiracy to commit acts of money laundering, which had been quashed, with the substantive offences, in the judgment of the Court of Appeal of England and Wales Hughes</w:t>
      </w:r>
      <w:r w:rsidR="00F57656" w:rsidRPr="00662BA1">
        <w:rPr>
          <w:szCs w:val="28"/>
        </w:rPr>
        <w:t> </w:t>
      </w:r>
      <w:r w:rsidR="00176C73" w:rsidRPr="00662BA1">
        <w:rPr>
          <w:szCs w:val="28"/>
        </w:rPr>
        <w:t xml:space="preserve">LJ, as </w:t>
      </w:r>
      <w:r w:rsidR="000D4EAC">
        <w:rPr>
          <w:szCs w:val="28"/>
        </w:rPr>
        <w:t xml:space="preserve">Lord Hughes </w:t>
      </w:r>
      <w:r w:rsidR="00CF1E93">
        <w:rPr>
          <w:szCs w:val="28"/>
        </w:rPr>
        <w:t xml:space="preserve">was </w:t>
      </w:r>
      <w:r w:rsidR="00176C73" w:rsidRPr="00662BA1">
        <w:rPr>
          <w:szCs w:val="28"/>
        </w:rPr>
        <w:t>then, rejected the submission of the prosecution that substantive offences of money lau</w:t>
      </w:r>
      <w:r w:rsidR="00F57656" w:rsidRPr="00662BA1">
        <w:rPr>
          <w:szCs w:val="28"/>
        </w:rPr>
        <w:t>ndering, contrary to section 49</w:t>
      </w:r>
      <w:r w:rsidR="00176C73" w:rsidRPr="00662BA1">
        <w:rPr>
          <w:szCs w:val="28"/>
        </w:rPr>
        <w:t>(2) of the Drug Trafficking Act 1994</w:t>
      </w:r>
      <w:r w:rsidR="00F57656" w:rsidRPr="00662BA1">
        <w:rPr>
          <w:szCs w:val="28"/>
        </w:rPr>
        <w:t> </w:t>
      </w:r>
      <w:r w:rsidR="00176C73" w:rsidRPr="00662BA1">
        <w:rPr>
          <w:rStyle w:val="FootnoteReference"/>
          <w:szCs w:val="28"/>
        </w:rPr>
        <w:footnoteReference w:id="63"/>
      </w:r>
      <w:r w:rsidR="00F57656" w:rsidRPr="00662BA1">
        <w:rPr>
          <w:szCs w:val="28"/>
        </w:rPr>
        <w:t xml:space="preserve"> and section 93</w:t>
      </w:r>
      <w:r w:rsidR="00176C73" w:rsidRPr="00662BA1">
        <w:rPr>
          <w:szCs w:val="28"/>
        </w:rPr>
        <w:t xml:space="preserve">(2) of the Criminal Justice </w:t>
      </w:r>
      <w:r w:rsidR="00F57656" w:rsidRPr="00662BA1">
        <w:rPr>
          <w:szCs w:val="28"/>
        </w:rPr>
        <w:t>Act 1988 should be regarded as “activity offences”</w:t>
      </w:r>
      <w:r w:rsidR="00176C73" w:rsidRPr="00662BA1">
        <w:rPr>
          <w:szCs w:val="28"/>
        </w:rPr>
        <w:t xml:space="preserve">. </w:t>
      </w:r>
      <w:r w:rsidR="00F57656" w:rsidRPr="00662BA1">
        <w:rPr>
          <w:szCs w:val="28"/>
        </w:rPr>
        <w:t xml:space="preserve"> </w:t>
      </w:r>
      <w:r w:rsidR="00176C73" w:rsidRPr="00662BA1">
        <w:rPr>
          <w:szCs w:val="28"/>
        </w:rPr>
        <w:t>Rather, he noted:</w:t>
      </w:r>
      <w:r w:rsidR="00F57656" w:rsidRPr="00662BA1">
        <w:rPr>
          <w:szCs w:val="28"/>
        </w:rPr>
        <w:t> </w:t>
      </w:r>
      <w:r w:rsidR="00176C73" w:rsidRPr="00662BA1">
        <w:rPr>
          <w:rStyle w:val="FootnoteReference"/>
          <w:szCs w:val="28"/>
        </w:rPr>
        <w:footnoteReference w:id="64"/>
      </w:r>
    </w:p>
    <w:p w:rsidR="00FD5CB0" w:rsidRPr="00662BA1" w:rsidRDefault="00AC2E71" w:rsidP="00AC2E71">
      <w:pPr>
        <w:tabs>
          <w:tab w:val="clear" w:pos="4320"/>
          <w:tab w:val="clear" w:pos="9072"/>
          <w:tab w:val="left" w:pos="2074"/>
        </w:tabs>
        <w:snapToGrid/>
        <w:spacing w:before="240"/>
        <w:ind w:left="1454" w:right="835" w:hanging="187"/>
        <w:jc w:val="both"/>
        <w:rPr>
          <w:snapToGrid w:val="0"/>
          <w:sz w:val="24"/>
          <w:szCs w:val="24"/>
        </w:rPr>
      </w:pPr>
      <w:r>
        <w:rPr>
          <w:szCs w:val="28"/>
        </w:rPr>
        <w:t>“</w:t>
      </w:r>
      <w:r w:rsidR="00F57656" w:rsidRPr="00662BA1">
        <w:rPr>
          <w:szCs w:val="28"/>
        </w:rPr>
        <w:tab/>
      </w:r>
      <w:r w:rsidR="00176C73" w:rsidRPr="00662BA1">
        <w:rPr>
          <w:snapToGrid w:val="0"/>
          <w:sz w:val="24"/>
          <w:szCs w:val="24"/>
        </w:rPr>
        <w:t xml:space="preserve">The statutory language is quite different. </w:t>
      </w:r>
      <w:r w:rsidR="00F57656" w:rsidRPr="00662BA1">
        <w:rPr>
          <w:snapToGrid w:val="0"/>
          <w:sz w:val="24"/>
          <w:szCs w:val="24"/>
        </w:rPr>
        <w:t xml:space="preserve"> </w:t>
      </w:r>
      <w:r w:rsidR="00176C73" w:rsidRPr="00662BA1">
        <w:rPr>
          <w:snapToGrid w:val="0"/>
          <w:sz w:val="24"/>
          <w:szCs w:val="24"/>
        </w:rPr>
        <w:t xml:space="preserve">An offence is committed with each conversion or removal of money. </w:t>
      </w:r>
      <w:r w:rsidR="00F57656" w:rsidRPr="00662BA1">
        <w:rPr>
          <w:snapToGrid w:val="0"/>
          <w:sz w:val="24"/>
          <w:szCs w:val="24"/>
        </w:rPr>
        <w:t xml:space="preserve"> </w:t>
      </w:r>
      <w:r w:rsidR="00176C73" w:rsidRPr="00662BA1">
        <w:rPr>
          <w:snapToGrid w:val="0"/>
          <w:sz w:val="24"/>
          <w:szCs w:val="24"/>
        </w:rPr>
        <w:t xml:space="preserve">Different considerations may apply to different </w:t>
      </w:r>
      <w:r w:rsidR="00F57656" w:rsidRPr="00662BA1">
        <w:rPr>
          <w:snapToGrid w:val="0"/>
          <w:sz w:val="24"/>
          <w:szCs w:val="24"/>
        </w:rPr>
        <w:t>transactions….”</w:t>
      </w:r>
    </w:p>
    <w:p w:rsidR="00FD5CB0" w:rsidRPr="00662BA1" w:rsidRDefault="00FD5CB0" w:rsidP="00FD5CB0">
      <w:pPr>
        <w:tabs>
          <w:tab w:val="clear" w:pos="4320"/>
          <w:tab w:val="clear" w:pos="9072"/>
          <w:tab w:val="left" w:pos="2074"/>
        </w:tabs>
        <w:snapToGrid/>
        <w:spacing w:line="80" w:lineRule="exact"/>
        <w:ind w:left="1454" w:right="835" w:hanging="187"/>
        <w:jc w:val="both"/>
        <w:rPr>
          <w:snapToGrid w:val="0"/>
          <w:sz w:val="24"/>
          <w:szCs w:val="24"/>
        </w:rPr>
      </w:pPr>
    </w:p>
    <w:p w:rsidR="00176C73" w:rsidRPr="00662BA1" w:rsidRDefault="00176C73" w:rsidP="00FD5CB0">
      <w:pPr>
        <w:tabs>
          <w:tab w:val="clear" w:pos="4320"/>
          <w:tab w:val="clear" w:pos="9072"/>
          <w:tab w:val="left" w:pos="2074"/>
        </w:tabs>
        <w:snapToGrid/>
        <w:spacing w:line="80" w:lineRule="exact"/>
        <w:ind w:left="1454" w:right="835" w:hanging="187"/>
        <w:jc w:val="both"/>
        <w:rPr>
          <w:snapToGrid w:val="0"/>
          <w:sz w:val="24"/>
          <w:szCs w:val="24"/>
        </w:rPr>
      </w:pPr>
    </w:p>
    <w:p w:rsidR="00B962B2" w:rsidRPr="00B962B2" w:rsidRDefault="00052537" w:rsidP="0039341A">
      <w:pPr>
        <w:tabs>
          <w:tab w:val="clear" w:pos="4320"/>
          <w:tab w:val="clear" w:pos="9072"/>
        </w:tabs>
        <w:snapToGrid/>
        <w:spacing w:before="360" w:line="360" w:lineRule="auto"/>
        <w:jc w:val="both"/>
        <w:rPr>
          <w:rFonts w:eastAsia="PMingLiU"/>
          <w:sz w:val="24"/>
          <w:szCs w:val="24"/>
          <w:lang w:eastAsia="zh-TW"/>
        </w:rPr>
      </w:pPr>
      <w:r>
        <w:rPr>
          <w:szCs w:val="28"/>
        </w:rPr>
        <w:fldChar w:fldCharType="begin"/>
      </w:r>
      <w:r w:rsidR="0039341A">
        <w:rPr>
          <w:szCs w:val="28"/>
        </w:rPr>
        <w:instrText xml:space="preserve"> AUTONUMOUT  </w:instrText>
      </w:r>
      <w:r>
        <w:rPr>
          <w:szCs w:val="28"/>
        </w:rPr>
        <w:fldChar w:fldCharType="end"/>
      </w:r>
      <w:r w:rsidR="0039341A">
        <w:rPr>
          <w:szCs w:val="28"/>
        </w:rPr>
        <w:tab/>
      </w:r>
      <w:r w:rsidR="00176C73" w:rsidRPr="00B962B2">
        <w:rPr>
          <w:szCs w:val="28"/>
        </w:rPr>
        <w:t xml:space="preserve">It is to be noted, that the </w:t>
      </w:r>
      <w:r w:rsidR="00F60CD4" w:rsidRPr="00B962B2">
        <w:rPr>
          <w:szCs w:val="28"/>
        </w:rPr>
        <w:t>word “</w:t>
      </w:r>
      <w:r w:rsidR="00176C73" w:rsidRPr="00B962B2">
        <w:rPr>
          <w:szCs w:val="28"/>
        </w:rPr>
        <w:t>dealing</w:t>
      </w:r>
      <w:r w:rsidR="00F60CD4" w:rsidRPr="00B962B2">
        <w:rPr>
          <w:szCs w:val="28"/>
        </w:rPr>
        <w:t>” is defined in section </w:t>
      </w:r>
      <w:r w:rsidR="00176C73" w:rsidRPr="00B962B2">
        <w:rPr>
          <w:szCs w:val="28"/>
        </w:rPr>
        <w:t xml:space="preserve">2 of the Organized and Serious Crimes Ordinance </w:t>
      </w:r>
      <w:r w:rsidR="00176C73" w:rsidRPr="000D4EAC">
        <w:rPr>
          <w:snapToGrid w:val="0"/>
          <w:szCs w:val="28"/>
        </w:rPr>
        <w:t>as</w:t>
      </w:r>
      <w:r w:rsidR="00176C73" w:rsidRPr="00B962B2">
        <w:rPr>
          <w:szCs w:val="28"/>
        </w:rPr>
        <w:t xml:space="preserve"> including: </w:t>
      </w:r>
    </w:p>
    <w:p w:rsidR="00B17201" w:rsidRPr="00B17201" w:rsidRDefault="00B962B2" w:rsidP="00B962B2">
      <w:pPr>
        <w:pStyle w:val="ListParagraph"/>
        <w:numPr>
          <w:ilvl w:val="0"/>
          <w:numId w:val="18"/>
        </w:numPr>
        <w:tabs>
          <w:tab w:val="clear" w:pos="4320"/>
          <w:tab w:val="clear" w:pos="9072"/>
          <w:tab w:val="left" w:pos="1890"/>
        </w:tabs>
        <w:snapToGrid/>
        <w:spacing w:before="240" w:line="280" w:lineRule="exact"/>
        <w:ind w:left="1440" w:hanging="180"/>
        <w:jc w:val="both"/>
        <w:rPr>
          <w:rFonts w:eastAsia="PMingLiU"/>
          <w:sz w:val="24"/>
          <w:szCs w:val="24"/>
          <w:lang w:eastAsia="zh-TW"/>
        </w:rPr>
      </w:pPr>
      <w:r>
        <w:rPr>
          <w:rFonts w:eastAsia="PMingLiU" w:hint="eastAsia"/>
          <w:sz w:val="24"/>
          <w:szCs w:val="24"/>
          <w:lang w:eastAsia="zh-TW"/>
        </w:rPr>
        <w:t>(a)</w:t>
      </w:r>
      <w:r>
        <w:rPr>
          <w:rFonts w:eastAsia="PMingLiU" w:hint="eastAsia"/>
          <w:sz w:val="24"/>
          <w:szCs w:val="24"/>
          <w:lang w:eastAsia="zh-TW"/>
        </w:rPr>
        <w:tab/>
      </w:r>
      <w:r w:rsidR="00B17201" w:rsidRPr="00B17201">
        <w:rPr>
          <w:sz w:val="24"/>
          <w:szCs w:val="24"/>
        </w:rPr>
        <w:t>receiving or acquiring the property;</w:t>
      </w:r>
    </w:p>
    <w:p w:rsidR="00B962B2" w:rsidRDefault="00176C73" w:rsidP="00B962B2">
      <w:pPr>
        <w:pStyle w:val="ListParagraph"/>
        <w:numPr>
          <w:ilvl w:val="1"/>
          <w:numId w:val="18"/>
        </w:numPr>
        <w:tabs>
          <w:tab w:val="clear" w:pos="1440"/>
          <w:tab w:val="clear" w:pos="4320"/>
          <w:tab w:val="clear" w:pos="9072"/>
          <w:tab w:val="left" w:pos="1890"/>
        </w:tabs>
        <w:snapToGrid/>
        <w:spacing w:before="240" w:line="280" w:lineRule="exact"/>
        <w:ind w:left="1440" w:firstLine="0"/>
        <w:jc w:val="both"/>
        <w:rPr>
          <w:rFonts w:eastAsia="PMingLiU"/>
          <w:sz w:val="24"/>
          <w:szCs w:val="24"/>
          <w:lang w:eastAsia="zh-TW"/>
        </w:rPr>
      </w:pPr>
      <w:proofErr w:type="gramStart"/>
      <w:r w:rsidRPr="00B17201">
        <w:rPr>
          <w:sz w:val="24"/>
          <w:szCs w:val="24"/>
        </w:rPr>
        <w:t>concealing</w:t>
      </w:r>
      <w:proofErr w:type="gramEnd"/>
      <w:r w:rsidRPr="00B17201">
        <w:rPr>
          <w:sz w:val="24"/>
          <w:szCs w:val="24"/>
        </w:rPr>
        <w:t xml:space="preserve"> or disguising the property….</w:t>
      </w:r>
      <w:r w:rsidR="00DE4632" w:rsidRPr="00B17201">
        <w:rPr>
          <w:sz w:val="24"/>
          <w:szCs w:val="24"/>
        </w:rPr>
        <w:t>;</w:t>
      </w:r>
    </w:p>
    <w:p w:rsidR="00B962B2" w:rsidRDefault="00176C73" w:rsidP="00B962B2">
      <w:pPr>
        <w:pStyle w:val="ListParagraph"/>
        <w:numPr>
          <w:ilvl w:val="1"/>
          <w:numId w:val="18"/>
        </w:numPr>
        <w:tabs>
          <w:tab w:val="clear" w:pos="1440"/>
          <w:tab w:val="clear" w:pos="4320"/>
          <w:tab w:val="clear" w:pos="9072"/>
          <w:tab w:val="left" w:pos="1890"/>
        </w:tabs>
        <w:snapToGrid/>
        <w:spacing w:before="240" w:line="280" w:lineRule="exact"/>
        <w:ind w:left="1440" w:firstLine="0"/>
        <w:jc w:val="both"/>
        <w:rPr>
          <w:rFonts w:eastAsia="PMingLiU"/>
          <w:sz w:val="24"/>
          <w:szCs w:val="24"/>
          <w:lang w:eastAsia="zh-TW"/>
        </w:rPr>
      </w:pPr>
      <w:r w:rsidRPr="00B962B2">
        <w:rPr>
          <w:sz w:val="24"/>
          <w:szCs w:val="24"/>
        </w:rPr>
        <w:t>disposing of or converting the property;</w:t>
      </w:r>
    </w:p>
    <w:p w:rsidR="00B962B2" w:rsidRDefault="00176C73" w:rsidP="00B962B2">
      <w:pPr>
        <w:pStyle w:val="ListParagraph"/>
        <w:numPr>
          <w:ilvl w:val="1"/>
          <w:numId w:val="18"/>
        </w:numPr>
        <w:tabs>
          <w:tab w:val="clear" w:pos="1440"/>
          <w:tab w:val="clear" w:pos="4320"/>
          <w:tab w:val="clear" w:pos="9072"/>
          <w:tab w:val="left" w:pos="1890"/>
        </w:tabs>
        <w:snapToGrid/>
        <w:spacing w:before="240" w:line="280" w:lineRule="exact"/>
        <w:ind w:left="1440" w:firstLine="0"/>
        <w:jc w:val="both"/>
        <w:rPr>
          <w:rFonts w:eastAsia="PMingLiU"/>
          <w:sz w:val="24"/>
          <w:szCs w:val="24"/>
          <w:lang w:eastAsia="zh-TW"/>
        </w:rPr>
      </w:pPr>
      <w:r w:rsidRPr="00B962B2">
        <w:rPr>
          <w:sz w:val="24"/>
          <w:szCs w:val="24"/>
        </w:rPr>
        <w:t>bringing into or removing from Hong Kong property;</w:t>
      </w:r>
    </w:p>
    <w:p w:rsidR="00C35916" w:rsidRPr="00B962B2" w:rsidRDefault="00DE4632" w:rsidP="00B962B2">
      <w:pPr>
        <w:pStyle w:val="ListParagraph"/>
        <w:numPr>
          <w:ilvl w:val="1"/>
          <w:numId w:val="18"/>
        </w:numPr>
        <w:tabs>
          <w:tab w:val="clear" w:pos="1440"/>
          <w:tab w:val="clear" w:pos="4320"/>
          <w:tab w:val="clear" w:pos="9072"/>
          <w:tab w:val="left" w:pos="1890"/>
        </w:tabs>
        <w:snapToGrid/>
        <w:spacing w:before="240" w:line="280" w:lineRule="exact"/>
        <w:ind w:left="1440" w:firstLine="0"/>
        <w:jc w:val="both"/>
        <w:rPr>
          <w:rFonts w:eastAsia="PMingLiU"/>
          <w:sz w:val="24"/>
          <w:szCs w:val="24"/>
          <w:lang w:eastAsia="zh-TW"/>
        </w:rPr>
      </w:pPr>
      <w:r w:rsidRPr="00B962B2">
        <w:rPr>
          <w:sz w:val="24"/>
          <w:szCs w:val="24"/>
        </w:rPr>
        <w:t>………”</w:t>
      </w:r>
    </w:p>
    <w:p w:rsidR="00DE4632" w:rsidRPr="00310DE2" w:rsidRDefault="00DE4632" w:rsidP="00310DE2">
      <w:pPr>
        <w:tabs>
          <w:tab w:val="clear" w:pos="1440"/>
          <w:tab w:val="clear" w:pos="4320"/>
          <w:tab w:val="clear" w:pos="9072"/>
          <w:tab w:val="left" w:pos="1890"/>
        </w:tabs>
        <w:snapToGrid/>
        <w:spacing w:line="80" w:lineRule="exact"/>
        <w:ind w:left="1267" w:right="835"/>
        <w:jc w:val="both"/>
        <w:rPr>
          <w:rFonts w:eastAsia="PMingLiU"/>
          <w:sz w:val="24"/>
          <w:szCs w:val="24"/>
          <w:lang w:eastAsia="zh-TW"/>
        </w:rPr>
      </w:pPr>
    </w:p>
    <w:p w:rsidR="00DE4632" w:rsidRPr="00B17201" w:rsidRDefault="00DE4632" w:rsidP="00DE4632">
      <w:pPr>
        <w:tabs>
          <w:tab w:val="clear" w:pos="4320"/>
          <w:tab w:val="clear" w:pos="9072"/>
          <w:tab w:val="left" w:pos="1800"/>
        </w:tabs>
        <w:snapToGrid/>
        <w:spacing w:line="80" w:lineRule="exact"/>
        <w:ind w:left="1267" w:right="835"/>
        <w:jc w:val="both"/>
        <w:rPr>
          <w:sz w:val="24"/>
          <w:szCs w:val="24"/>
        </w:rPr>
      </w:pPr>
    </w:p>
    <w:p w:rsidR="0039341A" w:rsidRDefault="00052537" w:rsidP="00AC2E71">
      <w:pPr>
        <w:tabs>
          <w:tab w:val="clear" w:pos="4320"/>
          <w:tab w:val="clear" w:pos="9072"/>
        </w:tabs>
        <w:snapToGrid/>
        <w:spacing w:before="360" w:line="360" w:lineRule="auto"/>
        <w:jc w:val="both"/>
        <w:rPr>
          <w:szCs w:val="28"/>
        </w:rPr>
      </w:pPr>
      <w:r w:rsidRPr="00B17201">
        <w:rPr>
          <w:szCs w:val="24"/>
        </w:rPr>
        <w:fldChar w:fldCharType="begin"/>
      </w:r>
      <w:r w:rsidR="00050E8C" w:rsidRPr="00B17201">
        <w:rPr>
          <w:szCs w:val="24"/>
        </w:rPr>
        <w:instrText xml:space="preserve"> AUTONUMOUT  </w:instrText>
      </w:r>
      <w:r w:rsidRPr="00B17201">
        <w:rPr>
          <w:szCs w:val="24"/>
        </w:rPr>
        <w:fldChar w:fldCharType="end"/>
      </w:r>
      <w:r w:rsidR="00050E8C" w:rsidRPr="00B17201">
        <w:rPr>
          <w:szCs w:val="24"/>
        </w:rPr>
        <w:tab/>
      </w:r>
      <w:r w:rsidR="00176C73" w:rsidRPr="00662BA1">
        <w:rPr>
          <w:szCs w:val="28"/>
        </w:rPr>
        <w:t xml:space="preserve">It is to state the obvious to note that the Criminal Procedure Rules and the Practice Direction issued in England and Wales do not apply in Hong Kong. </w:t>
      </w:r>
      <w:r w:rsidR="00050E8C" w:rsidRPr="00662BA1">
        <w:rPr>
          <w:szCs w:val="28"/>
        </w:rPr>
        <w:t xml:space="preserve"> </w:t>
      </w:r>
      <w:r w:rsidR="00176C73" w:rsidRPr="00662BA1">
        <w:rPr>
          <w:szCs w:val="28"/>
        </w:rPr>
        <w:t xml:space="preserve">Nevertheless, it is instructive to note that the Rules and the Practice Direction provide that, in determining whether or not it is appropriate to permit different incidents to be the subject of one count, attention is directed to the question of whether what is in issue differs between the different incidents. </w:t>
      </w:r>
      <w:r w:rsidR="00050E8C" w:rsidRPr="00662BA1">
        <w:rPr>
          <w:szCs w:val="28"/>
        </w:rPr>
        <w:t xml:space="preserve"> </w:t>
      </w:r>
      <w:r w:rsidR="00176C73" w:rsidRPr="00662BA1">
        <w:rPr>
          <w:szCs w:val="28"/>
        </w:rPr>
        <w:t xml:space="preserve">If what is in issue differs, it will not be appropriate to subsume multiple incidents in one count. </w:t>
      </w:r>
      <w:r w:rsidR="00050E8C" w:rsidRPr="00662BA1">
        <w:rPr>
          <w:szCs w:val="28"/>
        </w:rPr>
        <w:t xml:space="preserve"> </w:t>
      </w:r>
      <w:r w:rsidR="00176C73" w:rsidRPr="00662BA1">
        <w:rPr>
          <w:szCs w:val="28"/>
        </w:rPr>
        <w:t>Th</w:t>
      </w:r>
      <w:r w:rsidR="00050E8C" w:rsidRPr="00662BA1">
        <w:rPr>
          <w:szCs w:val="28"/>
        </w:rPr>
        <w:t>at is a matter to which Kennedy </w:t>
      </w:r>
      <w:r w:rsidR="00176C73" w:rsidRPr="00662BA1">
        <w:rPr>
          <w:szCs w:val="28"/>
        </w:rPr>
        <w:t xml:space="preserve">LJ alluded as being relevant to the issue of discernible prejudice or unfairness to the appellant in his judgment in </w:t>
      </w:r>
      <w:r w:rsidR="00176C73" w:rsidRPr="00662BA1">
        <w:rPr>
          <w:i/>
        </w:rPr>
        <w:t>Barton v Director of Public Prosecutions</w:t>
      </w:r>
      <w:r w:rsidR="00176C73" w:rsidRPr="00662BA1">
        <w:rPr>
          <w:szCs w:val="28"/>
        </w:rPr>
        <w:t>.</w:t>
      </w:r>
      <w:r w:rsidR="00176C73" w:rsidRPr="00662BA1">
        <w:rPr>
          <w:rStyle w:val="FootnoteReference"/>
          <w:szCs w:val="28"/>
        </w:rPr>
        <w:footnoteReference w:id="65"/>
      </w:r>
      <w:r w:rsidR="00176C73" w:rsidRPr="00662BA1">
        <w:rPr>
          <w:szCs w:val="28"/>
        </w:rPr>
        <w:t xml:space="preserve">  </w:t>
      </w:r>
    </w:p>
    <w:p w:rsidR="00176C73" w:rsidRPr="00662BA1" w:rsidRDefault="00176C73" w:rsidP="00050E8C">
      <w:pPr>
        <w:tabs>
          <w:tab w:val="clear" w:pos="4320"/>
          <w:tab w:val="clear" w:pos="9072"/>
        </w:tabs>
        <w:snapToGrid/>
        <w:spacing w:before="360" w:line="360" w:lineRule="auto"/>
        <w:jc w:val="both"/>
        <w:rPr>
          <w:szCs w:val="28"/>
        </w:rPr>
      </w:pPr>
      <w:r w:rsidRPr="00662BA1">
        <w:rPr>
          <w:i/>
          <w:szCs w:val="28"/>
        </w:rPr>
        <w:t>Conclusion</w:t>
      </w:r>
    </w:p>
    <w:p w:rsidR="00176C73" w:rsidRPr="00662BA1" w:rsidRDefault="00176C73" w:rsidP="00050E8C">
      <w:pPr>
        <w:tabs>
          <w:tab w:val="clear" w:pos="4320"/>
          <w:tab w:val="clear" w:pos="9072"/>
        </w:tabs>
        <w:snapToGrid/>
        <w:spacing w:before="120" w:line="360" w:lineRule="auto"/>
        <w:jc w:val="both"/>
        <w:rPr>
          <w:i/>
          <w:szCs w:val="28"/>
        </w:rPr>
      </w:pPr>
      <w:r w:rsidRPr="00662BA1">
        <w:rPr>
          <w:i/>
          <w:szCs w:val="28"/>
        </w:rPr>
        <w:t>Charge 1</w:t>
      </w:r>
    </w:p>
    <w:p w:rsidR="00050E8C" w:rsidRPr="00662BA1" w:rsidRDefault="00052537" w:rsidP="00050E8C">
      <w:pPr>
        <w:tabs>
          <w:tab w:val="clear" w:pos="4320"/>
          <w:tab w:val="clear" w:pos="9072"/>
        </w:tabs>
        <w:snapToGrid/>
        <w:spacing w:before="360" w:line="360" w:lineRule="auto"/>
        <w:jc w:val="both"/>
        <w:rPr>
          <w:szCs w:val="28"/>
        </w:rPr>
      </w:pPr>
      <w:r w:rsidRPr="00662BA1">
        <w:rPr>
          <w:szCs w:val="28"/>
        </w:rPr>
        <w:fldChar w:fldCharType="begin"/>
      </w:r>
      <w:r w:rsidR="00050E8C" w:rsidRPr="00662BA1">
        <w:rPr>
          <w:szCs w:val="28"/>
        </w:rPr>
        <w:instrText xml:space="preserve"> AUTONUMOUT  </w:instrText>
      </w:r>
      <w:r w:rsidRPr="00662BA1">
        <w:rPr>
          <w:szCs w:val="28"/>
        </w:rPr>
        <w:fldChar w:fldCharType="end"/>
      </w:r>
      <w:r w:rsidR="00050E8C" w:rsidRPr="00662BA1">
        <w:rPr>
          <w:szCs w:val="28"/>
        </w:rPr>
        <w:tab/>
      </w:r>
      <w:r w:rsidR="00176C73" w:rsidRPr="00662BA1">
        <w:rPr>
          <w:szCs w:val="28"/>
        </w:rPr>
        <w:t>Given the obviously different provenance of the multiple deposits of money in the ban</w:t>
      </w:r>
      <w:r w:rsidR="00050E8C" w:rsidRPr="00662BA1">
        <w:rPr>
          <w:szCs w:val="28"/>
        </w:rPr>
        <w:t>k account the subject of Charge </w:t>
      </w:r>
      <w:r w:rsidR="00176C73" w:rsidRPr="00662BA1">
        <w:rPr>
          <w:szCs w:val="28"/>
        </w:rPr>
        <w:t xml:space="preserve">1 over a period of </w:t>
      </w:r>
      <w:r w:rsidR="009814A0">
        <w:rPr>
          <w:szCs w:val="28"/>
        </w:rPr>
        <w:t>six</w:t>
      </w:r>
      <w:r w:rsidR="00176C73" w:rsidRPr="00662BA1">
        <w:rPr>
          <w:szCs w:val="28"/>
        </w:rPr>
        <w:t xml:space="preserve"> years the charge was patently duplicitous. </w:t>
      </w:r>
      <w:r w:rsidR="00050E8C" w:rsidRPr="00662BA1">
        <w:rPr>
          <w:rFonts w:hint="eastAsia"/>
          <w:szCs w:val="28"/>
        </w:rPr>
        <w:t xml:space="preserve"> </w:t>
      </w:r>
      <w:r w:rsidR="00176C73" w:rsidRPr="00662BA1">
        <w:rPr>
          <w:szCs w:val="28"/>
        </w:rPr>
        <w:t xml:space="preserve">We are not satisfied that those multiple acts, occurring over that considerable lengths of time, fall to be regarded as connected with one another by a common purpose, so that they are to be regarded as a common transaction or criminal enterprise. </w:t>
      </w:r>
      <w:r w:rsidR="00050E8C" w:rsidRPr="00662BA1">
        <w:rPr>
          <w:rFonts w:hint="eastAsia"/>
          <w:szCs w:val="28"/>
        </w:rPr>
        <w:t xml:space="preserve"> </w:t>
      </w:r>
      <w:r w:rsidR="00176C73" w:rsidRPr="00662BA1">
        <w:rPr>
          <w:szCs w:val="28"/>
        </w:rPr>
        <w:t xml:space="preserve">Similarly, that conduct does not fall within the exceptions of a general deficiency or continuous conduct.  As noted </w:t>
      </w:r>
      <w:r w:rsidR="00050E8C" w:rsidRPr="00662BA1">
        <w:rPr>
          <w:szCs w:val="28"/>
        </w:rPr>
        <w:t>earlier, about $158</w:t>
      </w:r>
      <w:r w:rsidR="00050E8C" w:rsidRPr="00662BA1">
        <w:rPr>
          <w:szCs w:val="28"/>
          <w:lang w:val="en-US"/>
        </w:rPr>
        <w:t> </w:t>
      </w:r>
      <w:r w:rsidR="00176C73" w:rsidRPr="00662BA1">
        <w:rPr>
          <w:szCs w:val="28"/>
        </w:rPr>
        <w:t>million of the monies deposited by cheque into that bank account was deposited by no fewer than</w:t>
      </w:r>
      <w:r w:rsidR="00050E8C" w:rsidRPr="00662BA1">
        <w:rPr>
          <w:rFonts w:hint="eastAsia"/>
          <w:szCs w:val="28"/>
        </w:rPr>
        <w:t xml:space="preserve"> </w:t>
      </w:r>
      <w:r w:rsidR="00176C73" w:rsidRPr="00662BA1">
        <w:rPr>
          <w:szCs w:val="28"/>
        </w:rPr>
        <w:t xml:space="preserve">19 different persons and/or entities. </w:t>
      </w:r>
      <w:r w:rsidR="00050E8C" w:rsidRPr="00662BA1">
        <w:rPr>
          <w:rFonts w:hint="eastAsia"/>
          <w:szCs w:val="28"/>
        </w:rPr>
        <w:t xml:space="preserve"> </w:t>
      </w:r>
      <w:r w:rsidR="00050E8C" w:rsidRPr="00662BA1">
        <w:rPr>
          <w:szCs w:val="28"/>
        </w:rPr>
        <w:t>Moreover, about $27.9</w:t>
      </w:r>
      <w:r w:rsidR="00050E8C" w:rsidRPr="00662BA1">
        <w:rPr>
          <w:szCs w:val="28"/>
          <w:lang w:val="en-US"/>
        </w:rPr>
        <w:t> </w:t>
      </w:r>
      <w:r w:rsidR="00176C73" w:rsidRPr="00662BA1">
        <w:rPr>
          <w:szCs w:val="28"/>
        </w:rPr>
        <w:t xml:space="preserve">million had been deposited in cash in 196 transactions by unknown depositors. </w:t>
      </w:r>
      <w:r w:rsidR="00050E8C" w:rsidRPr="00662BA1">
        <w:rPr>
          <w:rFonts w:hint="eastAsia"/>
          <w:szCs w:val="28"/>
        </w:rPr>
        <w:t xml:space="preserve"> </w:t>
      </w:r>
      <w:r w:rsidR="00176C73" w:rsidRPr="00662BA1">
        <w:rPr>
          <w:szCs w:val="28"/>
        </w:rPr>
        <w:t xml:space="preserve">The issues likely to arise were likely to be different. </w:t>
      </w:r>
      <w:r w:rsidR="00050E8C" w:rsidRPr="00662BA1">
        <w:rPr>
          <w:rFonts w:hint="eastAsia"/>
          <w:szCs w:val="28"/>
        </w:rPr>
        <w:t xml:space="preserve"> </w:t>
      </w:r>
      <w:r w:rsidR="00176C73" w:rsidRPr="00662BA1">
        <w:rPr>
          <w:szCs w:val="28"/>
        </w:rPr>
        <w:t>For exam</w:t>
      </w:r>
      <w:r w:rsidR="00050E8C" w:rsidRPr="00662BA1">
        <w:rPr>
          <w:szCs w:val="28"/>
        </w:rPr>
        <w:t>ple, the payment of about $37.5</w:t>
      </w:r>
      <w:r w:rsidR="00050E8C" w:rsidRPr="00662BA1">
        <w:rPr>
          <w:szCs w:val="28"/>
          <w:lang w:val="en-US"/>
        </w:rPr>
        <w:t> </w:t>
      </w:r>
      <w:r w:rsidR="00176C73" w:rsidRPr="00662BA1">
        <w:rPr>
          <w:szCs w:val="28"/>
        </w:rPr>
        <w:t>million from an account in the name of the applicant with Hooray Securities in September 2001 to that bank account was on its face a transaction of an entirely different nature from the deposits into the same bank account more than three years later in the period of several weeks in December 2004 and January 2005 of 10 cash cheques drawn on the account of SJM to a total value of about $62.5 million.</w:t>
      </w:r>
    </w:p>
    <w:p w:rsidR="00050E8C" w:rsidRPr="00662BA1" w:rsidRDefault="00176C73" w:rsidP="00050E8C">
      <w:pPr>
        <w:tabs>
          <w:tab w:val="clear" w:pos="4320"/>
          <w:tab w:val="clear" w:pos="9072"/>
        </w:tabs>
        <w:snapToGrid/>
        <w:spacing w:before="360" w:line="360" w:lineRule="auto"/>
        <w:jc w:val="both"/>
        <w:rPr>
          <w:i/>
          <w:szCs w:val="28"/>
        </w:rPr>
      </w:pPr>
      <w:r w:rsidRPr="00662BA1">
        <w:rPr>
          <w:i/>
          <w:szCs w:val="28"/>
        </w:rPr>
        <w:t>Charges 2-5</w:t>
      </w:r>
    </w:p>
    <w:p w:rsidR="00B17201" w:rsidRDefault="00052537" w:rsidP="00AC2E71">
      <w:pPr>
        <w:tabs>
          <w:tab w:val="clear" w:pos="4320"/>
          <w:tab w:val="clear" w:pos="9072"/>
        </w:tabs>
        <w:snapToGrid/>
        <w:spacing w:before="360" w:line="360" w:lineRule="auto"/>
        <w:jc w:val="both"/>
        <w:rPr>
          <w:i/>
          <w:szCs w:val="28"/>
        </w:rPr>
      </w:pPr>
      <w:r>
        <w:rPr>
          <w:szCs w:val="28"/>
        </w:rPr>
        <w:fldChar w:fldCharType="begin"/>
      </w:r>
      <w:r w:rsidR="00662BA1">
        <w:rPr>
          <w:szCs w:val="28"/>
        </w:rPr>
        <w:instrText xml:space="preserve"> AUTONUMOUT  </w:instrText>
      </w:r>
      <w:r>
        <w:rPr>
          <w:szCs w:val="28"/>
        </w:rPr>
        <w:fldChar w:fldCharType="end"/>
      </w:r>
      <w:r w:rsidR="00662BA1">
        <w:rPr>
          <w:szCs w:val="28"/>
        </w:rPr>
        <w:tab/>
      </w:r>
      <w:r w:rsidR="00176C73" w:rsidRPr="00662BA1">
        <w:rPr>
          <w:szCs w:val="28"/>
        </w:rPr>
        <w:t xml:space="preserve">The same observation applies to the deposits to the other bank accounts. </w:t>
      </w:r>
      <w:r w:rsidR="00050E8C" w:rsidRPr="00662BA1">
        <w:rPr>
          <w:rFonts w:hint="eastAsia"/>
          <w:szCs w:val="28"/>
        </w:rPr>
        <w:t xml:space="preserve"> </w:t>
      </w:r>
      <w:r w:rsidR="00176C73" w:rsidRPr="00662BA1">
        <w:rPr>
          <w:szCs w:val="28"/>
        </w:rPr>
        <w:t>The ban</w:t>
      </w:r>
      <w:r w:rsidR="00050E8C" w:rsidRPr="00662BA1">
        <w:rPr>
          <w:szCs w:val="28"/>
        </w:rPr>
        <w:t>k account the subject of Charge</w:t>
      </w:r>
      <w:proofErr w:type="gramStart"/>
      <w:r w:rsidR="004C2564">
        <w:rPr>
          <w:szCs w:val="28"/>
          <w:lang w:val="en-US"/>
        </w:rPr>
        <w:t>  </w:t>
      </w:r>
      <w:r w:rsidR="00176C73" w:rsidRPr="00662BA1">
        <w:rPr>
          <w:szCs w:val="28"/>
        </w:rPr>
        <w:t>2</w:t>
      </w:r>
      <w:proofErr w:type="gramEnd"/>
      <w:r w:rsidR="00176C73" w:rsidRPr="00662BA1">
        <w:rPr>
          <w:szCs w:val="28"/>
        </w:rPr>
        <w:t xml:space="preserve"> received deposits of about $4</w:t>
      </w:r>
      <w:r w:rsidR="00050E8C" w:rsidRPr="00662BA1">
        <w:rPr>
          <w:szCs w:val="28"/>
        </w:rPr>
        <w:t>4.7</w:t>
      </w:r>
      <w:r w:rsidR="004C2564">
        <w:rPr>
          <w:szCs w:val="28"/>
        </w:rPr>
        <w:t> </w:t>
      </w:r>
      <w:r w:rsidR="00176C73" w:rsidRPr="00662BA1">
        <w:rPr>
          <w:szCs w:val="28"/>
        </w:rPr>
        <w:t xml:space="preserve">million in cash in 162 transactions, in respect of which only </w:t>
      </w:r>
      <w:r w:rsidR="00050E8C" w:rsidRPr="00662BA1">
        <w:rPr>
          <w:szCs w:val="28"/>
        </w:rPr>
        <w:t xml:space="preserve">one depositor was identified; </w:t>
      </w:r>
      <w:r w:rsidR="00050E8C" w:rsidRPr="00662BA1">
        <w:rPr>
          <w:szCs w:val="28"/>
          <w:lang w:val="en-US"/>
        </w:rPr>
        <w:t xml:space="preserve">five </w:t>
      </w:r>
      <w:r w:rsidR="00176C73" w:rsidRPr="00662BA1">
        <w:rPr>
          <w:szCs w:val="28"/>
        </w:rPr>
        <w:t>identified persons and/or</w:t>
      </w:r>
      <w:r w:rsidR="00050E8C" w:rsidRPr="00662BA1">
        <w:rPr>
          <w:szCs w:val="28"/>
        </w:rPr>
        <w:t xml:space="preserve"> entities deposited about $34.9 </w:t>
      </w:r>
      <w:r w:rsidR="00176C73" w:rsidRPr="00662BA1">
        <w:rPr>
          <w:szCs w:val="28"/>
        </w:rPr>
        <w:t xml:space="preserve">million in cheques in 15 transactions. </w:t>
      </w:r>
      <w:r w:rsidR="00050E8C" w:rsidRPr="00662BA1">
        <w:rPr>
          <w:szCs w:val="28"/>
        </w:rPr>
        <w:t xml:space="preserve"> </w:t>
      </w:r>
      <w:r w:rsidR="00176C73" w:rsidRPr="00662BA1">
        <w:rPr>
          <w:szCs w:val="28"/>
        </w:rPr>
        <w:t>The ban</w:t>
      </w:r>
      <w:r w:rsidR="00050E8C" w:rsidRPr="00662BA1">
        <w:rPr>
          <w:szCs w:val="28"/>
        </w:rPr>
        <w:t>k account the subject of Charge </w:t>
      </w:r>
      <w:r w:rsidR="00176C73" w:rsidRPr="00662BA1">
        <w:rPr>
          <w:szCs w:val="28"/>
        </w:rPr>
        <w:t xml:space="preserve">3 received deposits of </w:t>
      </w:r>
      <w:r w:rsidR="00050E8C" w:rsidRPr="00662BA1">
        <w:rPr>
          <w:szCs w:val="28"/>
        </w:rPr>
        <w:t>about $13.3 </w:t>
      </w:r>
      <w:r w:rsidR="00176C73" w:rsidRPr="00662BA1">
        <w:rPr>
          <w:szCs w:val="28"/>
        </w:rPr>
        <w:t xml:space="preserve">million in cash in 18 transactions, in which only the applicant was identified as one of the depositors. </w:t>
      </w:r>
      <w:r w:rsidR="00050E8C" w:rsidRPr="00662BA1">
        <w:rPr>
          <w:szCs w:val="28"/>
        </w:rPr>
        <w:t xml:space="preserve"> </w:t>
      </w:r>
      <w:r w:rsidR="00176C73" w:rsidRPr="00662BA1">
        <w:rPr>
          <w:szCs w:val="28"/>
        </w:rPr>
        <w:t>The ban</w:t>
      </w:r>
      <w:r w:rsidR="00050E8C" w:rsidRPr="00662BA1">
        <w:rPr>
          <w:szCs w:val="28"/>
        </w:rPr>
        <w:t>k account the subject of Charge </w:t>
      </w:r>
      <w:r w:rsidR="00176C73" w:rsidRPr="00662BA1">
        <w:rPr>
          <w:szCs w:val="28"/>
        </w:rPr>
        <w:t>4 received cash deposits of about $4.2</w:t>
      </w:r>
      <w:r w:rsidR="00050E8C" w:rsidRPr="00662BA1">
        <w:rPr>
          <w:szCs w:val="28"/>
        </w:rPr>
        <w:t> </w:t>
      </w:r>
      <w:r w:rsidR="00176C73" w:rsidRPr="00662BA1">
        <w:rPr>
          <w:szCs w:val="28"/>
        </w:rPr>
        <w:t xml:space="preserve">million in 10 transactions, in which only one of the depositors was identified. </w:t>
      </w:r>
      <w:r w:rsidR="00050E8C" w:rsidRPr="00662BA1">
        <w:rPr>
          <w:szCs w:val="28"/>
        </w:rPr>
        <w:t xml:space="preserve"> </w:t>
      </w:r>
      <w:r w:rsidR="00176C73" w:rsidRPr="00662BA1">
        <w:rPr>
          <w:szCs w:val="28"/>
        </w:rPr>
        <w:t>Finally, the ban</w:t>
      </w:r>
      <w:r w:rsidR="00050E8C" w:rsidRPr="00662BA1">
        <w:rPr>
          <w:szCs w:val="28"/>
        </w:rPr>
        <w:t>k account the subject of Charge </w:t>
      </w:r>
      <w:r w:rsidR="00176C73" w:rsidRPr="00662BA1">
        <w:rPr>
          <w:szCs w:val="28"/>
        </w:rPr>
        <w:t>5 recei</w:t>
      </w:r>
      <w:r w:rsidR="00050E8C" w:rsidRPr="00662BA1">
        <w:rPr>
          <w:szCs w:val="28"/>
        </w:rPr>
        <w:t>ved cash deposits of about $7.3 </w:t>
      </w:r>
      <w:r w:rsidR="00176C73" w:rsidRPr="00662BA1">
        <w:rPr>
          <w:szCs w:val="28"/>
        </w:rPr>
        <w:t>million in 51 transactions together with</w:t>
      </w:r>
      <w:r w:rsidR="00050E8C" w:rsidRPr="00662BA1">
        <w:rPr>
          <w:szCs w:val="28"/>
        </w:rPr>
        <w:t xml:space="preserve"> cheque deposits of about $73.6 </w:t>
      </w:r>
      <w:r w:rsidR="00176C73" w:rsidRPr="00662BA1">
        <w:rPr>
          <w:szCs w:val="28"/>
        </w:rPr>
        <w:t xml:space="preserve">million in 40 transactions drawn on the bank accounts of 17 identified persons and/or entities. </w:t>
      </w:r>
      <w:r w:rsidR="00050E8C" w:rsidRPr="00662BA1">
        <w:rPr>
          <w:szCs w:val="28"/>
        </w:rPr>
        <w:t xml:space="preserve"> </w:t>
      </w:r>
      <w:r w:rsidR="00176C73" w:rsidRPr="00662BA1">
        <w:rPr>
          <w:szCs w:val="28"/>
        </w:rPr>
        <w:t>For the same reasons, we are satisfied that these charges were duplicitous.</w:t>
      </w:r>
    </w:p>
    <w:p w:rsidR="00050E8C" w:rsidRPr="00662BA1" w:rsidRDefault="00176C73" w:rsidP="0074446A">
      <w:pPr>
        <w:tabs>
          <w:tab w:val="clear" w:pos="4320"/>
          <w:tab w:val="clear" w:pos="9072"/>
        </w:tabs>
        <w:snapToGrid/>
        <w:spacing w:before="360" w:line="360" w:lineRule="auto"/>
        <w:jc w:val="both"/>
        <w:rPr>
          <w:i/>
          <w:szCs w:val="28"/>
        </w:rPr>
      </w:pPr>
      <w:r w:rsidRPr="00662BA1">
        <w:rPr>
          <w:i/>
          <w:szCs w:val="28"/>
        </w:rPr>
        <w:t xml:space="preserve">Prejudice to the defence </w:t>
      </w:r>
    </w:p>
    <w:p w:rsidR="0074446A" w:rsidRPr="00662BA1" w:rsidRDefault="00052537" w:rsidP="00662BA1">
      <w:pPr>
        <w:tabs>
          <w:tab w:val="clear" w:pos="4320"/>
          <w:tab w:val="clear" w:pos="9072"/>
        </w:tabs>
        <w:snapToGrid/>
        <w:spacing w:before="360" w:line="360" w:lineRule="auto"/>
        <w:jc w:val="both"/>
        <w:rPr>
          <w:szCs w:val="28"/>
        </w:rPr>
      </w:pPr>
      <w:r>
        <w:rPr>
          <w:szCs w:val="28"/>
        </w:rPr>
        <w:fldChar w:fldCharType="begin"/>
      </w:r>
      <w:r w:rsidR="00662BA1">
        <w:rPr>
          <w:szCs w:val="28"/>
        </w:rPr>
        <w:instrText xml:space="preserve"> AUTONUMOUT  </w:instrText>
      </w:r>
      <w:r>
        <w:rPr>
          <w:szCs w:val="28"/>
        </w:rPr>
        <w:fldChar w:fldCharType="end"/>
      </w:r>
      <w:r w:rsidR="00662BA1">
        <w:rPr>
          <w:szCs w:val="28"/>
        </w:rPr>
        <w:tab/>
      </w:r>
      <w:r w:rsidR="00176C73" w:rsidRPr="00662BA1">
        <w:rPr>
          <w:szCs w:val="28"/>
        </w:rPr>
        <w:t>The trial having proceeded, without any objection whatsoever from the defence, on what we have found to be duplicitous charges, it falls to this Court to consider whether, in consequence, there was prejudice to the applicant, such that his trial was not fair.</w:t>
      </w:r>
    </w:p>
    <w:p w:rsidR="0074446A" w:rsidRPr="00662BA1" w:rsidRDefault="00052537" w:rsidP="00662BA1">
      <w:pPr>
        <w:tabs>
          <w:tab w:val="clear" w:pos="4320"/>
          <w:tab w:val="clear" w:pos="9072"/>
        </w:tabs>
        <w:snapToGrid/>
        <w:spacing w:before="360" w:line="360" w:lineRule="auto"/>
        <w:jc w:val="both"/>
        <w:rPr>
          <w:szCs w:val="28"/>
        </w:rPr>
      </w:pPr>
      <w:r>
        <w:rPr>
          <w:szCs w:val="28"/>
        </w:rPr>
        <w:fldChar w:fldCharType="begin"/>
      </w:r>
      <w:r w:rsidR="00662BA1">
        <w:rPr>
          <w:szCs w:val="28"/>
        </w:rPr>
        <w:instrText xml:space="preserve"> AUTONUMOUT  </w:instrText>
      </w:r>
      <w:r>
        <w:rPr>
          <w:szCs w:val="28"/>
        </w:rPr>
        <w:fldChar w:fldCharType="end"/>
      </w:r>
      <w:r w:rsidR="00662BA1">
        <w:rPr>
          <w:szCs w:val="28"/>
        </w:rPr>
        <w:tab/>
      </w:r>
      <w:r w:rsidR="00176C73" w:rsidRPr="00662BA1">
        <w:rPr>
          <w:szCs w:val="28"/>
        </w:rPr>
        <w:t xml:space="preserve">As noted earlier, in advance of the trial the prosecution provided the defence with the comprehensive reports of </w:t>
      </w:r>
      <w:r w:rsidR="0074446A" w:rsidRPr="00662BA1">
        <w:rPr>
          <w:szCs w:val="28"/>
        </w:rPr>
        <w:t>Mr Sutton and Sgt </w:t>
      </w:r>
      <w:r w:rsidR="00176C73" w:rsidRPr="00662BA1">
        <w:rPr>
          <w:szCs w:val="28"/>
        </w:rPr>
        <w:t xml:space="preserve">Kwan. </w:t>
      </w:r>
      <w:r w:rsidR="0074446A" w:rsidRPr="00662BA1">
        <w:rPr>
          <w:szCs w:val="28"/>
        </w:rPr>
        <w:t xml:space="preserve"> </w:t>
      </w:r>
      <w:r w:rsidR="00176C73" w:rsidRPr="00662BA1">
        <w:rPr>
          <w:szCs w:val="28"/>
        </w:rPr>
        <w:t xml:space="preserve">They provided not only a collation of the data in </w:t>
      </w:r>
      <w:r w:rsidR="0074446A" w:rsidRPr="00662BA1">
        <w:rPr>
          <w:szCs w:val="28"/>
        </w:rPr>
        <w:t>respect of transactions in the five</w:t>
      </w:r>
      <w:r w:rsidR="00176C73" w:rsidRPr="00662BA1">
        <w:rPr>
          <w:szCs w:val="28"/>
        </w:rPr>
        <w:t xml:space="preserve"> bank account</w:t>
      </w:r>
      <w:r w:rsidR="00651A92">
        <w:rPr>
          <w:szCs w:val="28"/>
        </w:rPr>
        <w:t>s</w:t>
      </w:r>
      <w:r w:rsidR="00176C73" w:rsidRPr="00662BA1">
        <w:rPr>
          <w:szCs w:val="28"/>
        </w:rPr>
        <w:t xml:space="preserve"> but also in related securities accounts, together with an analysis of identifiable transactions connected with particular deposits. </w:t>
      </w:r>
      <w:r w:rsidR="0074446A" w:rsidRPr="00662BA1">
        <w:rPr>
          <w:szCs w:val="28"/>
        </w:rPr>
        <w:t xml:space="preserve"> </w:t>
      </w:r>
      <w:r w:rsidR="00176C73" w:rsidRPr="00662BA1">
        <w:rPr>
          <w:szCs w:val="28"/>
        </w:rPr>
        <w:t>So, for e</w:t>
      </w:r>
      <w:r w:rsidR="0074446A" w:rsidRPr="00662BA1">
        <w:rPr>
          <w:szCs w:val="28"/>
        </w:rPr>
        <w:t>xample, in his second report Mr </w:t>
      </w:r>
      <w:r w:rsidR="00176C73" w:rsidRPr="00662BA1">
        <w:rPr>
          <w:szCs w:val="28"/>
        </w:rPr>
        <w:t>Sutton described in some detail the circumstances leading</w:t>
      </w:r>
      <w:r w:rsidR="0074446A" w:rsidRPr="00662BA1">
        <w:rPr>
          <w:szCs w:val="28"/>
        </w:rPr>
        <w:t xml:space="preserve"> to the payment of around $37.5 million and about $10.4 </w:t>
      </w:r>
      <w:r w:rsidR="00176C73" w:rsidRPr="00662BA1">
        <w:rPr>
          <w:szCs w:val="28"/>
        </w:rPr>
        <w:t>million from the account of Hooray Securities to the bank accounts of the applicant and his father respectively in September 2001.</w:t>
      </w:r>
      <w:r w:rsidR="00176C73" w:rsidRPr="00662BA1">
        <w:rPr>
          <w:rStyle w:val="FootnoteReference"/>
          <w:szCs w:val="28"/>
        </w:rPr>
        <w:footnoteReference w:id="66"/>
      </w:r>
    </w:p>
    <w:p w:rsidR="00176C73" w:rsidRPr="00662BA1" w:rsidRDefault="00052537" w:rsidP="00AC2E71">
      <w:pPr>
        <w:tabs>
          <w:tab w:val="clear" w:pos="4320"/>
          <w:tab w:val="clear" w:pos="9072"/>
        </w:tabs>
        <w:snapToGrid/>
        <w:spacing w:before="360" w:line="360" w:lineRule="auto"/>
        <w:jc w:val="both"/>
        <w:rPr>
          <w:szCs w:val="28"/>
        </w:rPr>
      </w:pPr>
      <w:r w:rsidRPr="00662BA1">
        <w:rPr>
          <w:szCs w:val="28"/>
        </w:rPr>
        <w:fldChar w:fldCharType="begin"/>
      </w:r>
      <w:r w:rsidR="0074446A" w:rsidRPr="00662BA1">
        <w:rPr>
          <w:szCs w:val="28"/>
        </w:rPr>
        <w:instrText xml:space="preserve"> AUTONUMOUT  </w:instrText>
      </w:r>
      <w:r w:rsidRPr="00662BA1">
        <w:rPr>
          <w:szCs w:val="28"/>
        </w:rPr>
        <w:fldChar w:fldCharType="end"/>
      </w:r>
      <w:r w:rsidR="0074446A" w:rsidRPr="00662BA1">
        <w:rPr>
          <w:szCs w:val="28"/>
        </w:rPr>
        <w:tab/>
      </w:r>
      <w:r w:rsidR="00176C73" w:rsidRPr="00662BA1">
        <w:rPr>
          <w:szCs w:val="28"/>
        </w:rPr>
        <w:t xml:space="preserve">In the event, in the defence case the applicant advanced a consistent overall explanation for his dealing in the monies, namely that the transactions were legitimate and that he did not know or have reasonable grounds to believe that the monies were the proceeds of an indictment offence. </w:t>
      </w:r>
      <w:r w:rsidR="0074446A" w:rsidRPr="00662BA1">
        <w:rPr>
          <w:szCs w:val="28"/>
        </w:rPr>
        <w:t xml:space="preserve"> </w:t>
      </w:r>
      <w:r w:rsidR="00176C73" w:rsidRPr="00662BA1">
        <w:rPr>
          <w:szCs w:val="28"/>
        </w:rPr>
        <w:t>In doing so he advanced many different specific explanations for his dealing with different specific sums of money.</w:t>
      </w:r>
    </w:p>
    <w:p w:rsidR="00C35916" w:rsidRDefault="00052537" w:rsidP="0074446A">
      <w:pPr>
        <w:tabs>
          <w:tab w:val="clear" w:pos="4320"/>
          <w:tab w:val="clear" w:pos="9072"/>
        </w:tabs>
        <w:snapToGrid/>
        <w:spacing w:before="360" w:line="360" w:lineRule="auto"/>
        <w:jc w:val="both"/>
        <w:rPr>
          <w:szCs w:val="28"/>
        </w:rPr>
      </w:pPr>
      <w:r w:rsidRPr="00662BA1">
        <w:rPr>
          <w:szCs w:val="28"/>
        </w:rPr>
        <w:fldChar w:fldCharType="begin"/>
      </w:r>
      <w:r w:rsidR="0074446A" w:rsidRPr="00662BA1">
        <w:rPr>
          <w:szCs w:val="28"/>
        </w:rPr>
        <w:instrText xml:space="preserve"> AUTONUMOUT  </w:instrText>
      </w:r>
      <w:r w:rsidRPr="00662BA1">
        <w:rPr>
          <w:szCs w:val="28"/>
        </w:rPr>
        <w:fldChar w:fldCharType="end"/>
      </w:r>
      <w:r w:rsidR="0074446A" w:rsidRPr="00662BA1">
        <w:rPr>
          <w:szCs w:val="28"/>
        </w:rPr>
        <w:tab/>
      </w:r>
      <w:r w:rsidR="00176C73" w:rsidRPr="00662BA1">
        <w:rPr>
          <w:szCs w:val="28"/>
        </w:rPr>
        <w:t>As is apparent from the judge’s very lengthy summary of the defence case, in addition to the evidence of the applicant, two forensic accountants were</w:t>
      </w:r>
      <w:r w:rsidR="0074446A" w:rsidRPr="00662BA1">
        <w:rPr>
          <w:szCs w:val="28"/>
        </w:rPr>
        <w:t xml:space="preserve"> called as expert witnesses, Mr</w:t>
      </w:r>
      <w:proofErr w:type="gramStart"/>
      <w:r w:rsidR="0074446A" w:rsidRPr="00662BA1">
        <w:rPr>
          <w:szCs w:val="28"/>
        </w:rPr>
        <w:t> </w:t>
      </w:r>
      <w:r w:rsidR="00651A92">
        <w:rPr>
          <w:szCs w:val="28"/>
        </w:rPr>
        <w:t> </w:t>
      </w:r>
      <w:proofErr w:type="spellStart"/>
      <w:r w:rsidR="0074446A" w:rsidRPr="00662BA1">
        <w:rPr>
          <w:szCs w:val="28"/>
        </w:rPr>
        <w:t>Pulvirenti</w:t>
      </w:r>
      <w:proofErr w:type="spellEnd"/>
      <w:proofErr w:type="gramEnd"/>
      <w:r w:rsidR="0074446A" w:rsidRPr="00662BA1">
        <w:rPr>
          <w:szCs w:val="28"/>
        </w:rPr>
        <w:t xml:space="preserve"> and Mr </w:t>
      </w:r>
      <w:r w:rsidR="00176C73" w:rsidRPr="00662BA1">
        <w:rPr>
          <w:szCs w:val="28"/>
        </w:rPr>
        <w:t>Robinson, together with 12 witnesses to the facts.</w:t>
      </w:r>
      <w:r w:rsidR="0074446A" w:rsidRPr="00662BA1">
        <w:rPr>
          <w:szCs w:val="28"/>
        </w:rPr>
        <w:t xml:space="preserve"> </w:t>
      </w:r>
      <w:r w:rsidR="00176C73" w:rsidRPr="00662BA1">
        <w:rPr>
          <w:szCs w:val="28"/>
        </w:rPr>
        <w:t xml:space="preserve"> The broad thrust of that testimony was to provide a legitimate explanation for the provenance of the monies deposited in the five bank accounts and to refute the expressions of opinion adver</w:t>
      </w:r>
      <w:r w:rsidR="0074446A" w:rsidRPr="00662BA1">
        <w:rPr>
          <w:szCs w:val="28"/>
        </w:rPr>
        <w:t xml:space="preserve">se to the applicant given by Mr Sutton.  </w:t>
      </w:r>
      <w:r w:rsidR="00176C73" w:rsidRPr="00662BA1">
        <w:rPr>
          <w:szCs w:val="28"/>
        </w:rPr>
        <w:t>The headings under which the</w:t>
      </w:r>
      <w:r w:rsidR="0074446A" w:rsidRPr="00662BA1">
        <w:rPr>
          <w:szCs w:val="28"/>
        </w:rPr>
        <w:t xml:space="preserve"> judge summarised the applicant’</w:t>
      </w:r>
      <w:r w:rsidR="00176C73" w:rsidRPr="00662BA1">
        <w:rPr>
          <w:szCs w:val="28"/>
        </w:rPr>
        <w:t>s testimony speak eloquently to the structure of the defence case, including:</w:t>
      </w:r>
    </w:p>
    <w:p w:rsidR="00176C73" w:rsidRPr="00662BA1" w:rsidRDefault="00176C73" w:rsidP="00C35916">
      <w:pPr>
        <w:tabs>
          <w:tab w:val="clear" w:pos="4320"/>
          <w:tab w:val="clear" w:pos="9072"/>
        </w:tabs>
        <w:snapToGrid/>
        <w:spacing w:line="80" w:lineRule="exact"/>
        <w:ind w:left="1454" w:right="835" w:hanging="187"/>
        <w:jc w:val="both"/>
        <w:rPr>
          <w:szCs w:val="28"/>
        </w:rPr>
      </w:pPr>
    </w:p>
    <w:p w:rsidR="00176C73" w:rsidRPr="00662BA1" w:rsidRDefault="00176C73" w:rsidP="00C35916">
      <w:pPr>
        <w:numPr>
          <w:ilvl w:val="0"/>
          <w:numId w:val="9"/>
        </w:numPr>
        <w:tabs>
          <w:tab w:val="clear" w:pos="4320"/>
          <w:tab w:val="clear" w:pos="9072"/>
        </w:tabs>
        <w:snapToGrid/>
        <w:spacing w:before="120" w:line="360" w:lineRule="auto"/>
        <w:ind w:left="1440"/>
        <w:jc w:val="both"/>
        <w:rPr>
          <w:i/>
          <w:szCs w:val="28"/>
        </w:rPr>
      </w:pPr>
      <w:r w:rsidRPr="00662BA1">
        <w:rPr>
          <w:i/>
          <w:szCs w:val="28"/>
        </w:rPr>
        <w:t xml:space="preserve">Income and profits </w:t>
      </w:r>
    </w:p>
    <w:p w:rsidR="00176C73" w:rsidRPr="00662BA1" w:rsidRDefault="00176C73" w:rsidP="00C35916">
      <w:pPr>
        <w:tabs>
          <w:tab w:val="clear" w:pos="1440"/>
          <w:tab w:val="clear" w:pos="4320"/>
          <w:tab w:val="clear" w:pos="9072"/>
          <w:tab w:val="left" w:pos="1080"/>
        </w:tabs>
        <w:snapToGrid/>
        <w:spacing w:before="120" w:line="360" w:lineRule="auto"/>
        <w:ind w:left="1440"/>
        <w:jc w:val="both"/>
        <w:rPr>
          <w:szCs w:val="28"/>
        </w:rPr>
      </w:pPr>
      <w:r w:rsidRPr="00662BA1">
        <w:rPr>
          <w:szCs w:val="28"/>
        </w:rPr>
        <w:t>The Hair Salons;</w:t>
      </w:r>
    </w:p>
    <w:p w:rsidR="00176C73" w:rsidRPr="00662BA1" w:rsidRDefault="00176C73" w:rsidP="00C35916">
      <w:pPr>
        <w:tabs>
          <w:tab w:val="clear" w:pos="1440"/>
          <w:tab w:val="clear" w:pos="4320"/>
          <w:tab w:val="clear" w:pos="9072"/>
          <w:tab w:val="left" w:pos="1080"/>
        </w:tabs>
        <w:snapToGrid/>
        <w:spacing w:before="120" w:line="360" w:lineRule="auto"/>
        <w:ind w:left="1440"/>
        <w:jc w:val="both"/>
        <w:rPr>
          <w:szCs w:val="28"/>
        </w:rPr>
      </w:pPr>
      <w:r w:rsidRPr="00662BA1">
        <w:rPr>
          <w:szCs w:val="28"/>
        </w:rPr>
        <w:t xml:space="preserve">Investment with </w:t>
      </w:r>
      <w:proofErr w:type="spellStart"/>
      <w:r w:rsidRPr="00662BA1">
        <w:rPr>
          <w:szCs w:val="28"/>
        </w:rPr>
        <w:t>Yeung</w:t>
      </w:r>
      <w:proofErr w:type="spellEnd"/>
      <w:r w:rsidRPr="00662BA1">
        <w:rPr>
          <w:szCs w:val="28"/>
        </w:rPr>
        <w:t xml:space="preserve"> Chung in the </w:t>
      </w:r>
      <w:proofErr w:type="spellStart"/>
      <w:r w:rsidRPr="00662BA1">
        <w:rPr>
          <w:szCs w:val="28"/>
        </w:rPr>
        <w:t>Dongguan</w:t>
      </w:r>
      <w:proofErr w:type="spellEnd"/>
      <w:r w:rsidRPr="00662BA1">
        <w:rPr>
          <w:szCs w:val="28"/>
        </w:rPr>
        <w:t xml:space="preserve"> hotel;</w:t>
      </w:r>
    </w:p>
    <w:p w:rsidR="00176C73" w:rsidRPr="00662BA1" w:rsidRDefault="00176C73" w:rsidP="00C35916">
      <w:pPr>
        <w:tabs>
          <w:tab w:val="clear" w:pos="1440"/>
          <w:tab w:val="clear" w:pos="4320"/>
          <w:tab w:val="clear" w:pos="9072"/>
          <w:tab w:val="left" w:pos="1080"/>
        </w:tabs>
        <w:snapToGrid/>
        <w:spacing w:before="120" w:line="360" w:lineRule="auto"/>
        <w:ind w:left="1440"/>
        <w:jc w:val="both"/>
        <w:rPr>
          <w:szCs w:val="28"/>
        </w:rPr>
      </w:pPr>
      <w:r w:rsidRPr="00662BA1">
        <w:rPr>
          <w:szCs w:val="28"/>
        </w:rPr>
        <w:t xml:space="preserve">Richfield; </w:t>
      </w:r>
    </w:p>
    <w:p w:rsidR="00176C73" w:rsidRPr="00662BA1" w:rsidRDefault="00176C73" w:rsidP="00C35916">
      <w:pPr>
        <w:tabs>
          <w:tab w:val="clear" w:pos="1440"/>
          <w:tab w:val="clear" w:pos="4320"/>
          <w:tab w:val="clear" w:pos="9072"/>
          <w:tab w:val="left" w:pos="1080"/>
        </w:tabs>
        <w:snapToGrid/>
        <w:spacing w:before="120" w:line="360" w:lineRule="auto"/>
        <w:ind w:left="1440"/>
        <w:jc w:val="both"/>
        <w:rPr>
          <w:szCs w:val="28"/>
        </w:rPr>
      </w:pPr>
      <w:r w:rsidRPr="00662BA1">
        <w:rPr>
          <w:szCs w:val="28"/>
        </w:rPr>
        <w:t>Wealthy Villas;</w:t>
      </w:r>
    </w:p>
    <w:p w:rsidR="00176C73" w:rsidRPr="00662BA1" w:rsidRDefault="00176C73" w:rsidP="00C35916">
      <w:pPr>
        <w:tabs>
          <w:tab w:val="clear" w:pos="1440"/>
          <w:tab w:val="clear" w:pos="4320"/>
          <w:tab w:val="clear" w:pos="9072"/>
          <w:tab w:val="left" w:pos="1080"/>
        </w:tabs>
        <w:snapToGrid/>
        <w:spacing w:before="120" w:line="360" w:lineRule="auto"/>
        <w:ind w:left="1440"/>
        <w:jc w:val="both"/>
        <w:rPr>
          <w:szCs w:val="28"/>
        </w:rPr>
      </w:pPr>
      <w:r w:rsidRPr="00662BA1">
        <w:rPr>
          <w:szCs w:val="28"/>
        </w:rPr>
        <w:t>The defendant’s share trading; and</w:t>
      </w:r>
    </w:p>
    <w:p w:rsidR="00BC71D3" w:rsidRPr="00662BA1" w:rsidRDefault="00176C73" w:rsidP="00C35916">
      <w:pPr>
        <w:tabs>
          <w:tab w:val="clear" w:pos="1440"/>
          <w:tab w:val="clear" w:pos="4320"/>
          <w:tab w:val="clear" w:pos="9072"/>
          <w:tab w:val="left" w:pos="1080"/>
        </w:tabs>
        <w:snapToGrid/>
        <w:spacing w:before="120" w:line="360" w:lineRule="auto"/>
        <w:ind w:left="1440"/>
        <w:jc w:val="both"/>
        <w:rPr>
          <w:szCs w:val="28"/>
        </w:rPr>
      </w:pPr>
      <w:proofErr w:type="gramStart"/>
      <w:r w:rsidRPr="00662BA1">
        <w:rPr>
          <w:szCs w:val="28"/>
        </w:rPr>
        <w:t>Individual securities trading companies.</w:t>
      </w:r>
      <w:proofErr w:type="gramEnd"/>
    </w:p>
    <w:p w:rsidR="00BC71D3" w:rsidRPr="00662BA1" w:rsidRDefault="00BC71D3" w:rsidP="00662BA1">
      <w:pPr>
        <w:tabs>
          <w:tab w:val="clear" w:pos="1440"/>
          <w:tab w:val="clear" w:pos="4320"/>
          <w:tab w:val="clear" w:pos="9072"/>
          <w:tab w:val="left" w:pos="1080"/>
        </w:tabs>
        <w:snapToGrid/>
        <w:spacing w:line="80" w:lineRule="exact"/>
        <w:ind w:left="1440" w:right="835" w:hanging="720"/>
        <w:jc w:val="both"/>
        <w:rPr>
          <w:szCs w:val="28"/>
        </w:rPr>
      </w:pPr>
    </w:p>
    <w:p w:rsidR="00BC71D3" w:rsidRPr="00662BA1" w:rsidRDefault="00BC71D3" w:rsidP="00662BA1">
      <w:pPr>
        <w:tabs>
          <w:tab w:val="clear" w:pos="1440"/>
          <w:tab w:val="clear" w:pos="4320"/>
          <w:tab w:val="clear" w:pos="9072"/>
          <w:tab w:val="left" w:pos="1080"/>
        </w:tabs>
        <w:snapToGrid/>
        <w:spacing w:line="80" w:lineRule="exact"/>
        <w:ind w:left="1440" w:right="835" w:hanging="720"/>
        <w:jc w:val="both"/>
        <w:rPr>
          <w:szCs w:val="28"/>
        </w:rPr>
      </w:pPr>
    </w:p>
    <w:p w:rsidR="00BC71D3" w:rsidRPr="00662BA1" w:rsidRDefault="00BC71D3" w:rsidP="00662BA1">
      <w:pPr>
        <w:tabs>
          <w:tab w:val="clear" w:pos="1440"/>
          <w:tab w:val="clear" w:pos="4320"/>
          <w:tab w:val="clear" w:pos="9072"/>
          <w:tab w:val="left" w:pos="1080"/>
        </w:tabs>
        <w:snapToGrid/>
        <w:spacing w:line="80" w:lineRule="exact"/>
        <w:ind w:left="1440" w:right="835" w:hanging="720"/>
        <w:jc w:val="both"/>
        <w:rPr>
          <w:szCs w:val="28"/>
        </w:rPr>
      </w:pPr>
    </w:p>
    <w:p w:rsidR="00176C73" w:rsidRPr="00662BA1" w:rsidRDefault="00662BA1" w:rsidP="00C35916">
      <w:pPr>
        <w:numPr>
          <w:ilvl w:val="0"/>
          <w:numId w:val="9"/>
        </w:numPr>
        <w:tabs>
          <w:tab w:val="clear" w:pos="1440"/>
          <w:tab w:val="clear" w:pos="4320"/>
          <w:tab w:val="clear" w:pos="9072"/>
          <w:tab w:val="left" w:pos="1080"/>
        </w:tabs>
        <w:snapToGrid/>
        <w:spacing w:before="120" w:line="360" w:lineRule="auto"/>
        <w:ind w:left="1440"/>
        <w:jc w:val="both"/>
        <w:rPr>
          <w:i/>
          <w:szCs w:val="28"/>
        </w:rPr>
      </w:pPr>
      <w:r>
        <w:rPr>
          <w:rFonts w:eastAsia="PMingLiU" w:hint="eastAsia"/>
          <w:i/>
          <w:szCs w:val="28"/>
          <w:lang w:eastAsia="zh-TW"/>
        </w:rPr>
        <w:t xml:space="preserve"> </w:t>
      </w:r>
      <w:r>
        <w:rPr>
          <w:rFonts w:eastAsia="PMingLiU" w:hint="eastAsia"/>
          <w:i/>
          <w:szCs w:val="28"/>
          <w:lang w:eastAsia="zh-TW"/>
        </w:rPr>
        <w:tab/>
      </w:r>
      <w:r w:rsidR="00BC71D3" w:rsidRPr="00662BA1">
        <w:rPr>
          <w:i/>
          <w:szCs w:val="28"/>
        </w:rPr>
        <w:t>S</w:t>
      </w:r>
      <w:r w:rsidR="00176C73" w:rsidRPr="00662BA1">
        <w:rPr>
          <w:i/>
          <w:szCs w:val="28"/>
        </w:rPr>
        <w:t>pecific transactions</w:t>
      </w:r>
    </w:p>
    <w:p w:rsidR="00176C73" w:rsidRPr="00662BA1" w:rsidRDefault="00176C73" w:rsidP="00C35916">
      <w:pPr>
        <w:tabs>
          <w:tab w:val="clear" w:pos="1440"/>
          <w:tab w:val="clear" w:pos="4320"/>
          <w:tab w:val="clear" w:pos="9072"/>
          <w:tab w:val="left" w:pos="1080"/>
        </w:tabs>
        <w:snapToGrid/>
        <w:spacing w:before="120" w:line="360" w:lineRule="auto"/>
        <w:ind w:left="1440"/>
        <w:jc w:val="both"/>
        <w:rPr>
          <w:szCs w:val="28"/>
        </w:rPr>
      </w:pPr>
      <w:r w:rsidRPr="00662BA1">
        <w:rPr>
          <w:szCs w:val="28"/>
        </w:rPr>
        <w:t xml:space="preserve">Gold </w:t>
      </w:r>
      <w:proofErr w:type="spellStart"/>
      <w:proofErr w:type="gramStart"/>
      <w:r w:rsidRPr="00662BA1">
        <w:rPr>
          <w:szCs w:val="28"/>
        </w:rPr>
        <w:t>Wo</w:t>
      </w:r>
      <w:proofErr w:type="spellEnd"/>
      <w:proofErr w:type="gramEnd"/>
      <w:r w:rsidRPr="00662BA1">
        <w:rPr>
          <w:szCs w:val="28"/>
        </w:rPr>
        <w:t>;</w:t>
      </w:r>
    </w:p>
    <w:p w:rsidR="00176C73" w:rsidRPr="00662BA1" w:rsidRDefault="00176C73" w:rsidP="00C35916">
      <w:pPr>
        <w:tabs>
          <w:tab w:val="clear" w:pos="1440"/>
          <w:tab w:val="clear" w:pos="4320"/>
          <w:tab w:val="clear" w:pos="9072"/>
          <w:tab w:val="left" w:pos="1080"/>
        </w:tabs>
        <w:snapToGrid/>
        <w:spacing w:before="120" w:line="360" w:lineRule="auto"/>
        <w:ind w:left="1440"/>
        <w:jc w:val="both"/>
        <w:rPr>
          <w:szCs w:val="28"/>
        </w:rPr>
      </w:pPr>
      <w:r w:rsidRPr="00662BA1">
        <w:rPr>
          <w:szCs w:val="28"/>
        </w:rPr>
        <w:t xml:space="preserve">The </w:t>
      </w:r>
      <w:proofErr w:type="spellStart"/>
      <w:r w:rsidRPr="00662BA1">
        <w:rPr>
          <w:szCs w:val="28"/>
        </w:rPr>
        <w:t>Kanstar</w:t>
      </w:r>
      <w:proofErr w:type="spellEnd"/>
      <w:r w:rsidRPr="00662BA1">
        <w:rPr>
          <w:szCs w:val="28"/>
        </w:rPr>
        <w:t xml:space="preserve"> deal with </w:t>
      </w:r>
      <w:proofErr w:type="spellStart"/>
      <w:r w:rsidRPr="00662BA1">
        <w:rPr>
          <w:szCs w:val="28"/>
        </w:rPr>
        <w:t>Chim</w:t>
      </w:r>
      <w:proofErr w:type="spellEnd"/>
      <w:r w:rsidR="000D4EAC">
        <w:rPr>
          <w:szCs w:val="28"/>
        </w:rPr>
        <w:t xml:space="preserve"> </w:t>
      </w:r>
      <w:proofErr w:type="spellStart"/>
      <w:r w:rsidRPr="00662BA1">
        <w:rPr>
          <w:szCs w:val="28"/>
        </w:rPr>
        <w:t>Pui</w:t>
      </w:r>
      <w:proofErr w:type="spellEnd"/>
      <w:r w:rsidRPr="00662BA1">
        <w:rPr>
          <w:szCs w:val="28"/>
        </w:rPr>
        <w:t xml:space="preserve"> Chung;</w:t>
      </w:r>
    </w:p>
    <w:p w:rsidR="00176C73" w:rsidRPr="00662BA1" w:rsidRDefault="00176C73" w:rsidP="00C35916">
      <w:pPr>
        <w:tabs>
          <w:tab w:val="clear" w:pos="1440"/>
          <w:tab w:val="clear" w:pos="4320"/>
          <w:tab w:val="clear" w:pos="9072"/>
          <w:tab w:val="left" w:pos="1080"/>
        </w:tabs>
        <w:snapToGrid/>
        <w:spacing w:before="120" w:line="360" w:lineRule="auto"/>
        <w:ind w:left="1440"/>
        <w:jc w:val="both"/>
        <w:rPr>
          <w:szCs w:val="28"/>
        </w:rPr>
      </w:pPr>
      <w:r w:rsidRPr="00662BA1">
        <w:rPr>
          <w:szCs w:val="28"/>
        </w:rPr>
        <w:t>Gambling in casinos;</w:t>
      </w:r>
    </w:p>
    <w:p w:rsidR="00176C73" w:rsidRPr="00662BA1" w:rsidRDefault="00176C73" w:rsidP="00C35916">
      <w:pPr>
        <w:tabs>
          <w:tab w:val="clear" w:pos="1440"/>
          <w:tab w:val="clear" w:pos="4320"/>
          <w:tab w:val="clear" w:pos="9072"/>
        </w:tabs>
        <w:snapToGrid/>
        <w:spacing w:before="120" w:line="360" w:lineRule="auto"/>
        <w:ind w:left="1440"/>
        <w:jc w:val="both"/>
        <w:rPr>
          <w:szCs w:val="28"/>
        </w:rPr>
      </w:pPr>
      <w:r w:rsidRPr="00662BA1">
        <w:rPr>
          <w:szCs w:val="28"/>
        </w:rPr>
        <w:t>The SJM cheques of $62 million odd;</w:t>
      </w:r>
    </w:p>
    <w:p w:rsidR="00176C73" w:rsidRPr="00662BA1" w:rsidRDefault="00176C73" w:rsidP="00C35916">
      <w:pPr>
        <w:tabs>
          <w:tab w:val="clear" w:pos="1440"/>
          <w:tab w:val="clear" w:pos="4320"/>
          <w:tab w:val="clear" w:pos="9072"/>
        </w:tabs>
        <w:snapToGrid/>
        <w:spacing w:before="120" w:line="360" w:lineRule="auto"/>
        <w:ind w:left="1440"/>
        <w:jc w:val="both"/>
        <w:rPr>
          <w:szCs w:val="28"/>
        </w:rPr>
      </w:pPr>
      <w:r w:rsidRPr="00662BA1">
        <w:rPr>
          <w:szCs w:val="28"/>
        </w:rPr>
        <w:t>Abba Chan; and</w:t>
      </w:r>
    </w:p>
    <w:p w:rsidR="00B17201" w:rsidRDefault="00176C73" w:rsidP="00C35916">
      <w:pPr>
        <w:tabs>
          <w:tab w:val="clear" w:pos="4320"/>
          <w:tab w:val="clear" w:pos="9072"/>
        </w:tabs>
        <w:snapToGrid/>
        <w:spacing w:before="120" w:line="360" w:lineRule="auto"/>
        <w:ind w:left="1440"/>
        <w:jc w:val="both"/>
        <w:rPr>
          <w:szCs w:val="28"/>
        </w:rPr>
      </w:pPr>
      <w:proofErr w:type="gramStart"/>
      <w:r w:rsidRPr="00662BA1">
        <w:rPr>
          <w:szCs w:val="28"/>
        </w:rPr>
        <w:t xml:space="preserve">Dealings with Cheung Chi Tai and Lin </w:t>
      </w:r>
      <w:proofErr w:type="spellStart"/>
      <w:r w:rsidRPr="00662BA1">
        <w:rPr>
          <w:szCs w:val="28"/>
        </w:rPr>
        <w:t>Cheuk</w:t>
      </w:r>
      <w:proofErr w:type="spellEnd"/>
      <w:r w:rsidRPr="00662BA1">
        <w:rPr>
          <w:szCs w:val="28"/>
        </w:rPr>
        <w:t xml:space="preserve"> Fung-Neptune Club and Massive Resources.</w:t>
      </w:r>
      <w:proofErr w:type="gramEnd"/>
    </w:p>
    <w:p w:rsidR="00FE0FB9" w:rsidRPr="00662BA1" w:rsidRDefault="00052537" w:rsidP="00FE0FB9">
      <w:pPr>
        <w:tabs>
          <w:tab w:val="clear" w:pos="4320"/>
          <w:tab w:val="clear" w:pos="9072"/>
        </w:tabs>
        <w:snapToGrid/>
        <w:spacing w:before="360" w:line="360" w:lineRule="auto"/>
        <w:jc w:val="both"/>
        <w:rPr>
          <w:szCs w:val="28"/>
        </w:rPr>
      </w:pPr>
      <w:r w:rsidRPr="00662BA1">
        <w:rPr>
          <w:szCs w:val="28"/>
        </w:rPr>
        <w:fldChar w:fldCharType="begin"/>
      </w:r>
      <w:r w:rsidR="00BC71D3" w:rsidRPr="00662BA1">
        <w:rPr>
          <w:szCs w:val="28"/>
        </w:rPr>
        <w:instrText xml:space="preserve"> AUTONUMOUT  </w:instrText>
      </w:r>
      <w:r w:rsidRPr="00662BA1">
        <w:rPr>
          <w:szCs w:val="28"/>
        </w:rPr>
        <w:fldChar w:fldCharType="end"/>
      </w:r>
      <w:r w:rsidR="00BC71D3" w:rsidRPr="00662BA1">
        <w:rPr>
          <w:szCs w:val="28"/>
        </w:rPr>
        <w:tab/>
      </w:r>
      <w:r w:rsidR="00176C73" w:rsidRPr="00662BA1">
        <w:rPr>
          <w:szCs w:val="28"/>
        </w:rPr>
        <w:t>It is clear that in doing so, the defence was addressing the broad thrust of the prosecution case as to the propriety of the constituent parts of the aggregate deposits of money stipulated in the Particulars of Offence of each of the charges.</w:t>
      </w:r>
      <w:r w:rsidR="00FE0FB9" w:rsidRPr="00662BA1">
        <w:rPr>
          <w:szCs w:val="28"/>
        </w:rPr>
        <w:t xml:space="preserve"> </w:t>
      </w:r>
      <w:r w:rsidR="00176C73" w:rsidRPr="00662BA1">
        <w:rPr>
          <w:szCs w:val="28"/>
        </w:rPr>
        <w:t xml:space="preserve"> So, for example, although the deposit by Hooray Securitie</w:t>
      </w:r>
      <w:r w:rsidR="00FE0FB9" w:rsidRPr="00662BA1">
        <w:rPr>
          <w:szCs w:val="28"/>
        </w:rPr>
        <w:t>s Ltd of about $37.5 million into the Account A (Charge 1</w:t>
      </w:r>
      <w:r w:rsidR="00176C73" w:rsidRPr="00662BA1">
        <w:rPr>
          <w:szCs w:val="28"/>
        </w:rPr>
        <w:t>) was the only deposit of money by cheque to that account from Hooray Securities Ltd</w:t>
      </w:r>
      <w:r w:rsidR="000D4EAC">
        <w:rPr>
          <w:szCs w:val="28"/>
        </w:rPr>
        <w:t>,</w:t>
      </w:r>
      <w:r w:rsidR="00176C73" w:rsidRPr="00662BA1">
        <w:rPr>
          <w:szCs w:val="28"/>
        </w:rPr>
        <w:t xml:space="preserve"> the applicant testified at some length and in some detail as to the overall circumstances giving rise to the payment.</w:t>
      </w:r>
      <w:r w:rsidR="00176C73" w:rsidRPr="00662BA1">
        <w:rPr>
          <w:rStyle w:val="FootnoteReference"/>
          <w:szCs w:val="28"/>
        </w:rPr>
        <w:footnoteReference w:id="67"/>
      </w:r>
      <w:r w:rsidR="00176C73" w:rsidRPr="00662BA1">
        <w:rPr>
          <w:szCs w:val="28"/>
        </w:rPr>
        <w:t xml:space="preserve"> </w:t>
      </w:r>
      <w:r w:rsidR="00FE0FB9" w:rsidRPr="00662BA1">
        <w:rPr>
          <w:szCs w:val="28"/>
        </w:rPr>
        <w:t xml:space="preserve"> </w:t>
      </w:r>
      <w:r w:rsidR="00176C73" w:rsidRPr="00662BA1">
        <w:rPr>
          <w:szCs w:val="28"/>
        </w:rPr>
        <w:t>The applicant did likewise in respect of the 10 SJM cheques</w:t>
      </w:r>
      <w:r w:rsidR="00FE0FB9" w:rsidRPr="00662BA1">
        <w:rPr>
          <w:szCs w:val="28"/>
        </w:rPr>
        <w:t> </w:t>
      </w:r>
      <w:r w:rsidR="00176C73" w:rsidRPr="00662BA1">
        <w:rPr>
          <w:rStyle w:val="FootnoteReference"/>
          <w:szCs w:val="28"/>
        </w:rPr>
        <w:footnoteReference w:id="68"/>
      </w:r>
      <w:r w:rsidR="00176C73" w:rsidRPr="00662BA1">
        <w:rPr>
          <w:szCs w:val="28"/>
        </w:rPr>
        <w:t xml:space="preserve"> and other groups of related transactions.</w:t>
      </w:r>
    </w:p>
    <w:p w:rsidR="00FE0FB9" w:rsidRPr="00662BA1" w:rsidRDefault="00052537" w:rsidP="00FE0FB9">
      <w:pPr>
        <w:tabs>
          <w:tab w:val="clear" w:pos="4320"/>
          <w:tab w:val="clear" w:pos="9072"/>
        </w:tabs>
        <w:snapToGrid/>
        <w:spacing w:before="360" w:line="360" w:lineRule="auto"/>
        <w:jc w:val="both"/>
        <w:rPr>
          <w:szCs w:val="28"/>
        </w:rPr>
      </w:pPr>
      <w:r w:rsidRPr="00662BA1">
        <w:rPr>
          <w:szCs w:val="28"/>
        </w:rPr>
        <w:fldChar w:fldCharType="begin"/>
      </w:r>
      <w:r w:rsidR="00FE0FB9" w:rsidRPr="00662BA1">
        <w:rPr>
          <w:szCs w:val="28"/>
        </w:rPr>
        <w:instrText xml:space="preserve"> AUTONUMOUT  </w:instrText>
      </w:r>
      <w:r w:rsidRPr="00662BA1">
        <w:rPr>
          <w:szCs w:val="28"/>
        </w:rPr>
        <w:fldChar w:fldCharType="end"/>
      </w:r>
      <w:r w:rsidR="00FE0FB9" w:rsidRPr="00662BA1">
        <w:rPr>
          <w:szCs w:val="28"/>
        </w:rPr>
        <w:tab/>
      </w:r>
      <w:r w:rsidR="00176C73" w:rsidRPr="00662BA1">
        <w:rPr>
          <w:szCs w:val="28"/>
        </w:rPr>
        <w:t>It follows that we are sati</w:t>
      </w:r>
      <w:r w:rsidR="00FE0FB9" w:rsidRPr="00662BA1">
        <w:rPr>
          <w:szCs w:val="28"/>
        </w:rPr>
        <w:t>sfied that there is force in Mr </w:t>
      </w:r>
      <w:proofErr w:type="spellStart"/>
      <w:r w:rsidR="00FE0FB9" w:rsidRPr="00662BA1">
        <w:rPr>
          <w:szCs w:val="28"/>
        </w:rPr>
        <w:t>Caplan’</w:t>
      </w:r>
      <w:r w:rsidR="00176C73" w:rsidRPr="00662BA1">
        <w:rPr>
          <w:szCs w:val="28"/>
        </w:rPr>
        <w:t>s</w:t>
      </w:r>
      <w:proofErr w:type="spellEnd"/>
      <w:r w:rsidR="00176C73" w:rsidRPr="00662BA1">
        <w:rPr>
          <w:szCs w:val="28"/>
        </w:rPr>
        <w:t xml:space="preserve"> submission that, although the charges included within each of them multiple incidents relied on by the prosecution in proof of the respective charge, the differentiation between the various incidents was not only readily apparent to the defence and the judge but also addressed separately by each of them in turn. </w:t>
      </w:r>
      <w:r w:rsidR="00FE0FB9" w:rsidRPr="00662BA1">
        <w:rPr>
          <w:szCs w:val="28"/>
        </w:rPr>
        <w:t xml:space="preserve"> </w:t>
      </w:r>
      <w:r w:rsidR="00176C73" w:rsidRPr="00662BA1">
        <w:rPr>
          <w:szCs w:val="28"/>
        </w:rPr>
        <w:t xml:space="preserve">So, even if the prosecution had been required to condescend to stipulate multiple individual counts, the defence case would have remained the same. </w:t>
      </w:r>
      <w:r w:rsidR="00FE0FB9" w:rsidRPr="00662BA1">
        <w:rPr>
          <w:szCs w:val="28"/>
        </w:rPr>
        <w:t xml:space="preserve"> </w:t>
      </w:r>
      <w:r w:rsidR="00176C73" w:rsidRPr="00662BA1">
        <w:rPr>
          <w:szCs w:val="28"/>
        </w:rPr>
        <w:t>Similarly, we are satisfied that the defence advanced to meet that case would have remained the same.</w:t>
      </w:r>
      <w:r w:rsidR="000D4EAC">
        <w:rPr>
          <w:szCs w:val="28"/>
        </w:rPr>
        <w:t xml:space="preserve">  Accordingly, we are satisfied that although the charges were duplicitous, no prejudice was caused thereby to the applicant.</w:t>
      </w:r>
    </w:p>
    <w:p w:rsidR="00FE0FB9" w:rsidRPr="00662BA1" w:rsidRDefault="00176C73" w:rsidP="00FE0FB9">
      <w:pPr>
        <w:tabs>
          <w:tab w:val="clear" w:pos="4320"/>
          <w:tab w:val="clear" w:pos="9072"/>
        </w:tabs>
        <w:snapToGrid/>
        <w:spacing w:before="360" w:line="360" w:lineRule="auto"/>
        <w:jc w:val="both"/>
        <w:rPr>
          <w:i/>
          <w:szCs w:val="28"/>
        </w:rPr>
      </w:pPr>
      <w:r w:rsidRPr="00662BA1">
        <w:rPr>
          <w:i/>
          <w:szCs w:val="28"/>
        </w:rPr>
        <w:t>The judge’s analysis and findings</w:t>
      </w:r>
    </w:p>
    <w:p w:rsidR="00FE0FB9" w:rsidRPr="00662BA1" w:rsidRDefault="00052537" w:rsidP="00FC3D5B">
      <w:pPr>
        <w:tabs>
          <w:tab w:val="clear" w:pos="4320"/>
          <w:tab w:val="clear" w:pos="9072"/>
        </w:tabs>
        <w:snapToGrid/>
        <w:spacing w:before="360" w:line="360" w:lineRule="auto"/>
        <w:jc w:val="both"/>
        <w:rPr>
          <w:szCs w:val="28"/>
        </w:rPr>
      </w:pPr>
      <w:r>
        <w:rPr>
          <w:szCs w:val="28"/>
        </w:rPr>
        <w:fldChar w:fldCharType="begin"/>
      </w:r>
      <w:r w:rsidR="00FC3D5B">
        <w:rPr>
          <w:szCs w:val="28"/>
        </w:rPr>
        <w:instrText xml:space="preserve"> AUTONUMOUT  </w:instrText>
      </w:r>
      <w:r>
        <w:rPr>
          <w:szCs w:val="28"/>
        </w:rPr>
        <w:fldChar w:fldCharType="end"/>
      </w:r>
      <w:r w:rsidR="00FC3D5B">
        <w:rPr>
          <w:szCs w:val="28"/>
        </w:rPr>
        <w:tab/>
      </w:r>
      <w:r w:rsidR="00176C73" w:rsidRPr="00662BA1">
        <w:rPr>
          <w:szCs w:val="28"/>
        </w:rPr>
        <w:t>There is no dispute that in reciting his findings in respect of each of the charges that the judge referred to the overall evidence, and in particular the number of deposits into the respective bank accounts over the particular six-year period.</w:t>
      </w:r>
      <w:r w:rsidR="00176C73" w:rsidRPr="00662BA1">
        <w:rPr>
          <w:rStyle w:val="FootnoteReference"/>
          <w:szCs w:val="28"/>
        </w:rPr>
        <w:footnoteReference w:id="69"/>
      </w:r>
      <w:r w:rsidR="00FE0FB9" w:rsidRPr="00662BA1">
        <w:rPr>
          <w:szCs w:val="28"/>
        </w:rPr>
        <w:t xml:space="preserve"> </w:t>
      </w:r>
      <w:r w:rsidR="00176C73" w:rsidRPr="00662BA1">
        <w:rPr>
          <w:szCs w:val="28"/>
        </w:rPr>
        <w:t xml:space="preserve"> However, it is clear that the judge analysed and made findings in respect of each individual transaction and/or tranche of dealings before addressing the verdicts in respect of each of the charges.</w:t>
      </w:r>
      <w:r w:rsidR="00176C73" w:rsidRPr="00662BA1">
        <w:rPr>
          <w:rStyle w:val="FootnoteReference"/>
          <w:szCs w:val="28"/>
        </w:rPr>
        <w:footnoteReference w:id="70"/>
      </w:r>
      <w:r w:rsidR="00176C73" w:rsidRPr="00662BA1">
        <w:rPr>
          <w:szCs w:val="28"/>
        </w:rPr>
        <w:t xml:space="preserve"> </w:t>
      </w:r>
      <w:r w:rsidR="00FE0FB9" w:rsidRPr="00662BA1">
        <w:rPr>
          <w:szCs w:val="28"/>
        </w:rPr>
        <w:t xml:space="preserve"> </w:t>
      </w:r>
      <w:r w:rsidR="00176C73" w:rsidRPr="00662BA1">
        <w:rPr>
          <w:szCs w:val="28"/>
        </w:rPr>
        <w:t xml:space="preserve">Although the judge found that many of the applicant’s explanations for the various transactions were lies, in some instances he accepted the explanation. </w:t>
      </w:r>
      <w:r w:rsidR="00FE0FB9" w:rsidRPr="00662BA1">
        <w:rPr>
          <w:szCs w:val="28"/>
        </w:rPr>
        <w:t xml:space="preserve"> </w:t>
      </w:r>
      <w:r w:rsidR="00176C73" w:rsidRPr="00662BA1">
        <w:rPr>
          <w:szCs w:val="28"/>
        </w:rPr>
        <w:t>For example, of the explanation tha</w:t>
      </w:r>
      <w:r w:rsidR="00FE0FB9" w:rsidRPr="00662BA1">
        <w:rPr>
          <w:szCs w:val="28"/>
        </w:rPr>
        <w:t>t monies deposited into Account A and Account B by Abba </w:t>
      </w:r>
      <w:r w:rsidR="00176C73" w:rsidRPr="00662BA1">
        <w:rPr>
          <w:szCs w:val="28"/>
        </w:rPr>
        <w:t>Chan or companies related to him were the repayment of an investment in his movie business or loans to him</w:t>
      </w:r>
      <w:r w:rsidR="00FE0FB9" w:rsidRPr="00662BA1">
        <w:rPr>
          <w:szCs w:val="28"/>
        </w:rPr>
        <w:t> </w:t>
      </w:r>
      <w:r w:rsidR="00176C73" w:rsidRPr="00662BA1">
        <w:rPr>
          <w:rStyle w:val="FootnoteReference"/>
          <w:szCs w:val="28"/>
        </w:rPr>
        <w:footnoteReference w:id="71"/>
      </w:r>
      <w:r w:rsidR="00FE0FB9" w:rsidRPr="00662BA1">
        <w:rPr>
          <w:szCs w:val="28"/>
        </w:rPr>
        <w:t xml:space="preserve"> the judge said, “</w:t>
      </w:r>
      <w:r w:rsidR="00176C73" w:rsidRPr="00662BA1">
        <w:rPr>
          <w:szCs w:val="28"/>
        </w:rPr>
        <w:t>I find that it may very well be the case</w:t>
      </w:r>
      <w:r w:rsidR="00FE0FB9" w:rsidRPr="00662BA1">
        <w:rPr>
          <w:szCs w:val="28"/>
        </w:rPr>
        <w:t>”</w:t>
      </w:r>
      <w:r w:rsidR="00176C73" w:rsidRPr="00662BA1">
        <w:rPr>
          <w:szCs w:val="28"/>
        </w:rPr>
        <w:t>.</w:t>
      </w:r>
      <w:r w:rsidR="00176C73" w:rsidRPr="00662BA1">
        <w:rPr>
          <w:rStyle w:val="FootnoteReference"/>
          <w:szCs w:val="28"/>
        </w:rPr>
        <w:footnoteReference w:id="72"/>
      </w:r>
    </w:p>
    <w:p w:rsidR="00176C73" w:rsidRPr="00662BA1" w:rsidRDefault="00052537" w:rsidP="00FE0FB9">
      <w:pPr>
        <w:tabs>
          <w:tab w:val="clear" w:pos="4320"/>
          <w:tab w:val="clear" w:pos="9072"/>
        </w:tabs>
        <w:snapToGrid/>
        <w:spacing w:before="360" w:line="360" w:lineRule="auto"/>
        <w:jc w:val="both"/>
        <w:rPr>
          <w:szCs w:val="28"/>
        </w:rPr>
      </w:pPr>
      <w:r w:rsidRPr="00662BA1">
        <w:rPr>
          <w:szCs w:val="28"/>
        </w:rPr>
        <w:fldChar w:fldCharType="begin"/>
      </w:r>
      <w:r w:rsidR="00FE0FB9" w:rsidRPr="00662BA1">
        <w:rPr>
          <w:szCs w:val="28"/>
        </w:rPr>
        <w:instrText xml:space="preserve"> AUTONUMOUT  </w:instrText>
      </w:r>
      <w:r w:rsidRPr="00662BA1">
        <w:rPr>
          <w:szCs w:val="28"/>
        </w:rPr>
        <w:fldChar w:fldCharType="end"/>
      </w:r>
      <w:r w:rsidR="00FE0FB9" w:rsidRPr="00662BA1">
        <w:rPr>
          <w:szCs w:val="28"/>
        </w:rPr>
        <w:tab/>
      </w:r>
      <w:r w:rsidR="00176C73" w:rsidRPr="00662BA1">
        <w:rPr>
          <w:szCs w:val="28"/>
        </w:rPr>
        <w:t>The judge said that he decided the verdicts based on those findings.</w:t>
      </w:r>
      <w:r w:rsidR="00176C73" w:rsidRPr="00662BA1">
        <w:rPr>
          <w:rStyle w:val="FootnoteReference"/>
          <w:szCs w:val="28"/>
        </w:rPr>
        <w:footnoteReference w:id="73"/>
      </w:r>
      <w:r w:rsidR="00176C73" w:rsidRPr="00662BA1">
        <w:rPr>
          <w:szCs w:val="28"/>
        </w:rPr>
        <w:t xml:space="preserve"> </w:t>
      </w:r>
      <w:r w:rsidR="00CF2DC3" w:rsidRPr="00662BA1">
        <w:rPr>
          <w:szCs w:val="28"/>
        </w:rPr>
        <w:t xml:space="preserve"> </w:t>
      </w:r>
      <w:r w:rsidR="00176C73" w:rsidRPr="00662BA1">
        <w:rPr>
          <w:szCs w:val="28"/>
        </w:rPr>
        <w:t xml:space="preserve">So, for example, earlier he made his findings in respect of the Hooray Securities payments to the applicant’s bank account and that of his father arising out of the Gold </w:t>
      </w:r>
      <w:proofErr w:type="spellStart"/>
      <w:r w:rsidR="00176C73" w:rsidRPr="00662BA1">
        <w:rPr>
          <w:szCs w:val="28"/>
        </w:rPr>
        <w:t>Wo</w:t>
      </w:r>
      <w:proofErr w:type="spellEnd"/>
      <w:r w:rsidR="00176C73" w:rsidRPr="00662BA1">
        <w:rPr>
          <w:szCs w:val="28"/>
        </w:rPr>
        <w:t xml:space="preserve"> share transactions.</w:t>
      </w:r>
      <w:r w:rsidR="00176C73" w:rsidRPr="00662BA1">
        <w:rPr>
          <w:rStyle w:val="FootnoteReference"/>
          <w:szCs w:val="28"/>
        </w:rPr>
        <w:footnoteReference w:id="74"/>
      </w:r>
      <w:r w:rsidR="00176C73" w:rsidRPr="00662BA1">
        <w:rPr>
          <w:szCs w:val="28"/>
        </w:rPr>
        <w:t xml:space="preserve"> </w:t>
      </w:r>
      <w:r w:rsidR="00CF2DC3" w:rsidRPr="00662BA1">
        <w:rPr>
          <w:szCs w:val="28"/>
        </w:rPr>
        <w:t xml:space="preserve"> </w:t>
      </w:r>
      <w:r w:rsidR="00176C73" w:rsidRPr="00662BA1">
        <w:rPr>
          <w:szCs w:val="28"/>
        </w:rPr>
        <w:t>Then, he made his findings in respect of the 10 SJM cash c</w:t>
      </w:r>
      <w:r w:rsidR="00CF2DC3" w:rsidRPr="00662BA1">
        <w:rPr>
          <w:szCs w:val="28"/>
        </w:rPr>
        <w:t>heque deposits to the applicant’</w:t>
      </w:r>
      <w:r w:rsidR="00176C73" w:rsidRPr="00662BA1">
        <w:rPr>
          <w:szCs w:val="28"/>
        </w:rPr>
        <w:t xml:space="preserve">s bank account. </w:t>
      </w:r>
      <w:r w:rsidR="00CF2DC3" w:rsidRPr="00662BA1">
        <w:rPr>
          <w:szCs w:val="28"/>
        </w:rPr>
        <w:t xml:space="preserve"> </w:t>
      </w:r>
      <w:r w:rsidR="00176C73" w:rsidRPr="00662BA1">
        <w:rPr>
          <w:szCs w:val="28"/>
        </w:rPr>
        <w:t>Next, he made his findings in respect of the payments that the applicant alleged were repayments in respect of his investment in Neptune Club and Massive Resources.</w:t>
      </w:r>
      <w:r w:rsidR="00176C73" w:rsidRPr="00662BA1">
        <w:rPr>
          <w:rStyle w:val="FootnoteReference"/>
          <w:szCs w:val="28"/>
        </w:rPr>
        <w:footnoteReference w:id="75"/>
      </w:r>
      <w:r w:rsidR="00CF2DC3" w:rsidRPr="00662BA1">
        <w:rPr>
          <w:szCs w:val="28"/>
        </w:rPr>
        <w:t xml:space="preserve">  </w:t>
      </w:r>
      <w:r w:rsidR="00176C73" w:rsidRPr="00662BA1">
        <w:rPr>
          <w:szCs w:val="28"/>
        </w:rPr>
        <w:t>Of those payments, the judge noted specifically that:</w:t>
      </w:r>
      <w:r w:rsidR="00176C73" w:rsidRPr="00662BA1">
        <w:rPr>
          <w:rStyle w:val="FootnoteReference"/>
          <w:szCs w:val="28"/>
        </w:rPr>
        <w:footnoteReference w:id="76"/>
      </w:r>
      <w:r w:rsidR="00176C73" w:rsidRPr="00662BA1">
        <w:rPr>
          <w:szCs w:val="28"/>
        </w:rPr>
        <w:t xml:space="preserve"> </w:t>
      </w:r>
    </w:p>
    <w:p w:rsidR="00176C73" w:rsidRDefault="00CF2DC3" w:rsidP="00C35916">
      <w:pPr>
        <w:tabs>
          <w:tab w:val="clear" w:pos="4320"/>
          <w:tab w:val="clear" w:pos="9072"/>
          <w:tab w:val="left" w:pos="2074"/>
        </w:tabs>
        <w:snapToGrid/>
        <w:spacing w:before="240"/>
        <w:ind w:left="1454" w:right="835" w:hanging="187"/>
        <w:jc w:val="both"/>
        <w:rPr>
          <w:sz w:val="24"/>
          <w:szCs w:val="24"/>
        </w:rPr>
      </w:pPr>
      <w:r w:rsidRPr="00662BA1">
        <w:rPr>
          <w:sz w:val="24"/>
          <w:szCs w:val="24"/>
        </w:rPr>
        <w:t>“</w:t>
      </w:r>
      <w:r w:rsidRPr="00662BA1">
        <w:rPr>
          <w:i/>
          <w:sz w:val="24"/>
          <w:szCs w:val="24"/>
        </w:rPr>
        <w:tab/>
      </w:r>
      <w:proofErr w:type="gramStart"/>
      <w:r w:rsidR="00176C73" w:rsidRPr="00662BA1">
        <w:rPr>
          <w:i/>
          <w:sz w:val="24"/>
          <w:szCs w:val="24"/>
        </w:rPr>
        <w:t>the</w:t>
      </w:r>
      <w:proofErr w:type="gramEnd"/>
      <w:r w:rsidR="00176C73" w:rsidRPr="00662BA1">
        <w:rPr>
          <w:i/>
          <w:sz w:val="24"/>
          <w:szCs w:val="24"/>
        </w:rPr>
        <w:t xml:space="preserve"> material time</w:t>
      </w:r>
      <w:r w:rsidR="00176C73" w:rsidRPr="00662BA1">
        <w:rPr>
          <w:sz w:val="24"/>
          <w:szCs w:val="24"/>
        </w:rPr>
        <w:t xml:space="preserve"> to consider was when the money was being deposited int</w:t>
      </w:r>
      <w:r w:rsidRPr="00662BA1">
        <w:rPr>
          <w:sz w:val="24"/>
          <w:szCs w:val="24"/>
        </w:rPr>
        <w:t xml:space="preserve">o the defendant's bank account.” </w:t>
      </w:r>
      <w:r w:rsidR="00176C73" w:rsidRPr="00662BA1">
        <w:rPr>
          <w:sz w:val="24"/>
          <w:szCs w:val="24"/>
        </w:rPr>
        <w:t xml:space="preserve"> [Italics added.]</w:t>
      </w:r>
    </w:p>
    <w:p w:rsidR="00C35916" w:rsidRPr="00662BA1" w:rsidRDefault="00C35916" w:rsidP="0029066E">
      <w:pPr>
        <w:tabs>
          <w:tab w:val="clear" w:pos="4320"/>
          <w:tab w:val="clear" w:pos="9072"/>
        </w:tabs>
        <w:snapToGrid/>
        <w:spacing w:before="360" w:line="360" w:lineRule="auto"/>
        <w:ind w:right="26"/>
        <w:jc w:val="both"/>
        <w:rPr>
          <w:szCs w:val="28"/>
        </w:rPr>
      </w:pPr>
      <w:r w:rsidRPr="00662BA1">
        <w:rPr>
          <w:szCs w:val="28"/>
        </w:rPr>
        <w:t xml:space="preserve">Of the large deposits of cash into the bank accounts, he found that “there was no correlating cash generating business that either the defendant or </w:t>
      </w:r>
      <w:proofErr w:type="spellStart"/>
      <w:r w:rsidRPr="00662BA1">
        <w:rPr>
          <w:szCs w:val="28"/>
        </w:rPr>
        <w:t>Yeung</w:t>
      </w:r>
      <w:proofErr w:type="spellEnd"/>
      <w:r w:rsidRPr="00662BA1">
        <w:rPr>
          <w:szCs w:val="28"/>
        </w:rPr>
        <w:t xml:space="preserve"> Chung </w:t>
      </w:r>
      <w:proofErr w:type="gramStart"/>
      <w:r w:rsidRPr="000D4EAC">
        <w:rPr>
          <w:szCs w:val="28"/>
        </w:rPr>
        <w:t>were</w:t>
      </w:r>
      <w:proofErr w:type="gramEnd"/>
      <w:r w:rsidRPr="00662BA1">
        <w:rPr>
          <w:szCs w:val="28"/>
        </w:rPr>
        <w:t xml:space="preserve"> involved”.</w:t>
      </w:r>
      <w:r w:rsidRPr="00662BA1">
        <w:rPr>
          <w:rStyle w:val="FootnoteReference"/>
          <w:szCs w:val="28"/>
        </w:rPr>
        <w:footnoteReference w:id="77"/>
      </w:r>
    </w:p>
    <w:p w:rsidR="00C35916" w:rsidRPr="008C2CCD" w:rsidRDefault="00C35916">
      <w:pPr>
        <w:tabs>
          <w:tab w:val="clear" w:pos="1440"/>
          <w:tab w:val="clear" w:pos="4320"/>
          <w:tab w:val="clear" w:pos="9072"/>
        </w:tabs>
        <w:snapToGrid/>
        <w:rPr>
          <w:szCs w:val="28"/>
        </w:rPr>
      </w:pPr>
      <w:r>
        <w:rPr>
          <w:i/>
          <w:szCs w:val="28"/>
        </w:rPr>
        <w:br w:type="page"/>
      </w:r>
    </w:p>
    <w:p w:rsidR="00176C73" w:rsidRPr="00662BA1" w:rsidRDefault="00176C73" w:rsidP="00CF2DC3">
      <w:pPr>
        <w:tabs>
          <w:tab w:val="clear" w:pos="4320"/>
          <w:tab w:val="clear" w:pos="9072"/>
        </w:tabs>
        <w:snapToGrid/>
        <w:spacing w:before="360" w:line="360" w:lineRule="auto"/>
        <w:jc w:val="both"/>
        <w:rPr>
          <w:i/>
          <w:szCs w:val="28"/>
        </w:rPr>
      </w:pPr>
      <w:r w:rsidRPr="00662BA1">
        <w:rPr>
          <w:i/>
          <w:szCs w:val="28"/>
        </w:rPr>
        <w:t xml:space="preserve">The judge’s verdicts </w:t>
      </w:r>
    </w:p>
    <w:p w:rsidR="00176C73" w:rsidRPr="00662BA1" w:rsidRDefault="00052537" w:rsidP="00CF2DC3">
      <w:pPr>
        <w:tabs>
          <w:tab w:val="clear" w:pos="4320"/>
          <w:tab w:val="clear" w:pos="9072"/>
        </w:tabs>
        <w:snapToGrid/>
        <w:spacing w:before="360" w:line="360" w:lineRule="auto"/>
        <w:jc w:val="both"/>
        <w:rPr>
          <w:szCs w:val="28"/>
        </w:rPr>
      </w:pPr>
      <w:r w:rsidRPr="00662BA1">
        <w:rPr>
          <w:szCs w:val="28"/>
        </w:rPr>
        <w:fldChar w:fldCharType="begin"/>
      </w:r>
      <w:r w:rsidR="00CF2DC3" w:rsidRPr="00662BA1">
        <w:rPr>
          <w:szCs w:val="28"/>
        </w:rPr>
        <w:instrText xml:space="preserve"> AUTONUMOUT  </w:instrText>
      </w:r>
      <w:r w:rsidRPr="00662BA1">
        <w:rPr>
          <w:szCs w:val="28"/>
        </w:rPr>
        <w:fldChar w:fldCharType="end"/>
      </w:r>
      <w:r w:rsidR="00CF2DC3" w:rsidRPr="00662BA1">
        <w:rPr>
          <w:szCs w:val="28"/>
        </w:rPr>
        <w:tab/>
      </w:r>
      <w:r w:rsidR="00176C73" w:rsidRPr="00662BA1">
        <w:rPr>
          <w:szCs w:val="28"/>
        </w:rPr>
        <w:t>It was in those circumstances, that the judge determined h</w:t>
      </w:r>
      <w:r w:rsidR="00FA68A3" w:rsidRPr="00662BA1">
        <w:rPr>
          <w:szCs w:val="28"/>
        </w:rPr>
        <w:t>is verdict in respect of Charge </w:t>
      </w:r>
      <w:r w:rsidR="00176C73" w:rsidRPr="00662BA1">
        <w:rPr>
          <w:szCs w:val="28"/>
        </w:rPr>
        <w:t xml:space="preserve">1. </w:t>
      </w:r>
      <w:r w:rsidR="00FA68A3" w:rsidRPr="00662BA1">
        <w:rPr>
          <w:szCs w:val="28"/>
        </w:rPr>
        <w:t xml:space="preserve"> </w:t>
      </w:r>
      <w:r w:rsidR="00176C73" w:rsidRPr="00662BA1">
        <w:rPr>
          <w:szCs w:val="28"/>
        </w:rPr>
        <w:t>In doing so, he adverted to his findings: first, the cash deposits;</w:t>
      </w:r>
      <w:r w:rsidR="00176C73" w:rsidRPr="00662BA1">
        <w:rPr>
          <w:rStyle w:val="FootnoteReference"/>
          <w:szCs w:val="28"/>
        </w:rPr>
        <w:footnoteReference w:id="78"/>
      </w:r>
      <w:r w:rsidR="00176C73" w:rsidRPr="00662BA1">
        <w:rPr>
          <w:szCs w:val="28"/>
        </w:rPr>
        <w:t xml:space="preserve"> secondly, the 10 SJM cheques;</w:t>
      </w:r>
      <w:r w:rsidR="00176C73" w:rsidRPr="00662BA1">
        <w:rPr>
          <w:rStyle w:val="FootnoteReference"/>
          <w:szCs w:val="28"/>
        </w:rPr>
        <w:footnoteReference w:id="79"/>
      </w:r>
      <w:r w:rsidR="00176C73" w:rsidRPr="00662BA1">
        <w:rPr>
          <w:szCs w:val="28"/>
        </w:rPr>
        <w:t xml:space="preserve"> </w:t>
      </w:r>
      <w:r w:rsidR="00FA68A3" w:rsidRPr="00662BA1">
        <w:rPr>
          <w:szCs w:val="28"/>
        </w:rPr>
        <w:t xml:space="preserve">thirdly, the approximately </w:t>
      </w:r>
      <w:r w:rsidR="000D4EAC">
        <w:rPr>
          <w:szCs w:val="28"/>
        </w:rPr>
        <w:t>$</w:t>
      </w:r>
      <w:r w:rsidR="00FA68A3" w:rsidRPr="00662BA1">
        <w:rPr>
          <w:szCs w:val="28"/>
        </w:rPr>
        <w:t>37.5 </w:t>
      </w:r>
      <w:r w:rsidR="00176C73" w:rsidRPr="00662BA1">
        <w:rPr>
          <w:szCs w:val="28"/>
        </w:rPr>
        <w:t>million payment by Hooray Securities; and fourthly,  the payments which the applicant claimed were re-payments through various individuals and entities of his investment in Neptune Club and Massive Resources</w:t>
      </w:r>
      <w:r w:rsidR="00176C73" w:rsidRPr="00662BA1">
        <w:rPr>
          <w:rStyle w:val="FootnoteReference"/>
          <w:szCs w:val="28"/>
        </w:rPr>
        <w:footnoteReference w:id="80"/>
      </w:r>
      <w:r w:rsidR="00176C73" w:rsidRPr="00662BA1">
        <w:rPr>
          <w:szCs w:val="28"/>
        </w:rPr>
        <w:t>, which evidence the judge had rejected.</w:t>
      </w:r>
      <w:r w:rsidR="00FA68A3" w:rsidRPr="00662BA1">
        <w:rPr>
          <w:szCs w:val="28"/>
        </w:rPr>
        <w:t xml:space="preserve"> </w:t>
      </w:r>
      <w:r w:rsidR="00176C73" w:rsidRPr="00662BA1">
        <w:rPr>
          <w:szCs w:val="28"/>
        </w:rPr>
        <w:t xml:space="preserve"> Then, the judge said:</w:t>
      </w:r>
      <w:r w:rsidR="00176C73" w:rsidRPr="00662BA1">
        <w:rPr>
          <w:rStyle w:val="FootnoteReference"/>
          <w:szCs w:val="28"/>
        </w:rPr>
        <w:footnoteReference w:id="81"/>
      </w:r>
    </w:p>
    <w:p w:rsidR="00C35916" w:rsidRDefault="00FA68A3" w:rsidP="00FA68A3">
      <w:pPr>
        <w:pStyle w:val="ListParagraph"/>
        <w:tabs>
          <w:tab w:val="clear" w:pos="1440"/>
          <w:tab w:val="clear" w:pos="4320"/>
          <w:tab w:val="clear" w:pos="9072"/>
          <w:tab w:val="left" w:pos="2074"/>
        </w:tabs>
        <w:snapToGrid/>
        <w:spacing w:before="240"/>
        <w:ind w:left="1454" w:right="835" w:hanging="187"/>
        <w:jc w:val="both"/>
        <w:rPr>
          <w:sz w:val="24"/>
          <w:szCs w:val="24"/>
        </w:rPr>
      </w:pPr>
      <w:r w:rsidRPr="00662BA1">
        <w:rPr>
          <w:sz w:val="24"/>
          <w:szCs w:val="24"/>
        </w:rPr>
        <w:t>“</w:t>
      </w:r>
      <w:r w:rsidRPr="00662BA1">
        <w:rPr>
          <w:sz w:val="24"/>
          <w:szCs w:val="24"/>
        </w:rPr>
        <w:tab/>
      </w:r>
      <w:r w:rsidR="00176C73" w:rsidRPr="00662BA1">
        <w:rPr>
          <w:sz w:val="24"/>
          <w:szCs w:val="24"/>
        </w:rPr>
        <w:t xml:space="preserve">…the defendant was aware of all the transactions in relation to account A. </w:t>
      </w:r>
      <w:r w:rsidRPr="00662BA1">
        <w:rPr>
          <w:sz w:val="24"/>
          <w:szCs w:val="24"/>
        </w:rPr>
        <w:t xml:space="preserve"> </w:t>
      </w:r>
      <w:r w:rsidR="00176C73" w:rsidRPr="00662BA1">
        <w:rPr>
          <w:sz w:val="24"/>
          <w:szCs w:val="24"/>
        </w:rPr>
        <w:t xml:space="preserve">I find that the defendant himself knew that dealings in cash transactions would be more difficult to trace than those by way of checks. </w:t>
      </w:r>
      <w:r w:rsidRPr="00662BA1">
        <w:rPr>
          <w:sz w:val="24"/>
          <w:szCs w:val="24"/>
        </w:rPr>
        <w:t xml:space="preserve"> </w:t>
      </w:r>
      <w:r w:rsidR="00176C73" w:rsidRPr="00662BA1">
        <w:rPr>
          <w:sz w:val="24"/>
          <w:szCs w:val="24"/>
        </w:rPr>
        <w:t xml:space="preserve">I find that there were no cash generating business that would generate the kind of cash </w:t>
      </w:r>
      <w:r w:rsidRPr="00662BA1">
        <w:rPr>
          <w:sz w:val="24"/>
          <w:szCs w:val="24"/>
        </w:rPr>
        <w:t>that was deposited into account </w:t>
      </w:r>
      <w:r w:rsidR="00176C73" w:rsidRPr="00662BA1">
        <w:rPr>
          <w:sz w:val="24"/>
          <w:szCs w:val="24"/>
        </w:rPr>
        <w:t xml:space="preserve">A. </w:t>
      </w:r>
      <w:r w:rsidRPr="00662BA1">
        <w:rPr>
          <w:sz w:val="24"/>
          <w:szCs w:val="24"/>
        </w:rPr>
        <w:t xml:space="preserve"> </w:t>
      </w:r>
      <w:r w:rsidR="00176C73" w:rsidRPr="00662BA1">
        <w:rPr>
          <w:sz w:val="24"/>
          <w:szCs w:val="24"/>
        </w:rPr>
        <w:t xml:space="preserve">I find that the overall almost identical amount of deposits and withdrawals in the account shows that the account had been used as a repository of funds. </w:t>
      </w:r>
      <w:r w:rsidRPr="00662BA1">
        <w:rPr>
          <w:sz w:val="24"/>
          <w:szCs w:val="24"/>
        </w:rPr>
        <w:t xml:space="preserve"> </w:t>
      </w:r>
      <w:r w:rsidR="00176C73" w:rsidRPr="00662BA1">
        <w:rPr>
          <w:sz w:val="24"/>
          <w:szCs w:val="24"/>
        </w:rPr>
        <w:t xml:space="preserve">I find that for the reasons already given above, the deposits from SJM were not the defendant’s gambling winnings. </w:t>
      </w:r>
      <w:r w:rsidRPr="00662BA1">
        <w:rPr>
          <w:sz w:val="24"/>
          <w:szCs w:val="24"/>
        </w:rPr>
        <w:t xml:space="preserve"> </w:t>
      </w:r>
      <w:r w:rsidR="00176C73" w:rsidRPr="00662BA1">
        <w:rPr>
          <w:sz w:val="24"/>
          <w:szCs w:val="24"/>
        </w:rPr>
        <w:t xml:space="preserve">I find that the dealings in the Gold </w:t>
      </w:r>
      <w:proofErr w:type="spellStart"/>
      <w:r w:rsidR="00176C73" w:rsidRPr="00662BA1">
        <w:rPr>
          <w:sz w:val="24"/>
          <w:szCs w:val="24"/>
        </w:rPr>
        <w:t>Wo</w:t>
      </w:r>
      <w:proofErr w:type="spellEnd"/>
      <w:r w:rsidR="00176C73" w:rsidRPr="00662BA1">
        <w:rPr>
          <w:sz w:val="24"/>
          <w:szCs w:val="24"/>
        </w:rPr>
        <w:t xml:space="preserve"> shares, for reasons given above was arranged so as to</w:t>
      </w:r>
      <w:r w:rsidRPr="00662BA1">
        <w:rPr>
          <w:sz w:val="24"/>
          <w:szCs w:val="24"/>
        </w:rPr>
        <w:t xml:space="preserve"> conceal the involvement of Ms. </w:t>
      </w:r>
      <w:r w:rsidR="00176C73" w:rsidRPr="00662BA1">
        <w:rPr>
          <w:sz w:val="24"/>
          <w:szCs w:val="24"/>
        </w:rPr>
        <w:t xml:space="preserve">Yu Xiao Mei. </w:t>
      </w:r>
      <w:r w:rsidRPr="00662BA1">
        <w:rPr>
          <w:sz w:val="24"/>
          <w:szCs w:val="24"/>
        </w:rPr>
        <w:t xml:space="preserve"> </w:t>
      </w:r>
      <w:r w:rsidR="00176C73" w:rsidRPr="00662BA1">
        <w:rPr>
          <w:sz w:val="24"/>
          <w:szCs w:val="24"/>
        </w:rPr>
        <w:t>These are all facts known to the defendant at the material times.</w:t>
      </w:r>
      <w:r w:rsidRPr="00662BA1">
        <w:rPr>
          <w:sz w:val="24"/>
          <w:szCs w:val="24"/>
        </w:rPr>
        <w:t>”</w:t>
      </w:r>
    </w:p>
    <w:p w:rsidR="00C35916" w:rsidRDefault="00C35916" w:rsidP="00C35916">
      <w:pPr>
        <w:pStyle w:val="ListParagraph"/>
        <w:tabs>
          <w:tab w:val="clear" w:pos="1440"/>
          <w:tab w:val="clear" w:pos="4320"/>
          <w:tab w:val="clear" w:pos="9072"/>
          <w:tab w:val="left" w:pos="2074"/>
        </w:tabs>
        <w:snapToGrid/>
        <w:spacing w:line="80" w:lineRule="exact"/>
        <w:ind w:left="1454" w:right="835" w:hanging="187"/>
        <w:jc w:val="both"/>
        <w:rPr>
          <w:sz w:val="24"/>
          <w:szCs w:val="24"/>
        </w:rPr>
      </w:pPr>
    </w:p>
    <w:p w:rsidR="00C35916" w:rsidRDefault="00C35916" w:rsidP="00C35916">
      <w:pPr>
        <w:pStyle w:val="ListParagraph"/>
        <w:tabs>
          <w:tab w:val="clear" w:pos="1440"/>
          <w:tab w:val="clear" w:pos="4320"/>
          <w:tab w:val="clear" w:pos="9072"/>
          <w:tab w:val="left" w:pos="2074"/>
        </w:tabs>
        <w:snapToGrid/>
        <w:spacing w:line="80" w:lineRule="exact"/>
        <w:ind w:left="1454" w:right="835" w:hanging="187"/>
        <w:jc w:val="both"/>
        <w:rPr>
          <w:sz w:val="24"/>
          <w:szCs w:val="24"/>
        </w:rPr>
      </w:pPr>
    </w:p>
    <w:p w:rsidR="00FA68A3" w:rsidRPr="00662BA1" w:rsidRDefault="00176C73" w:rsidP="00C35916">
      <w:pPr>
        <w:tabs>
          <w:tab w:val="clear" w:pos="4320"/>
          <w:tab w:val="clear" w:pos="9072"/>
        </w:tabs>
        <w:snapToGrid/>
        <w:spacing w:before="360" w:line="360" w:lineRule="auto"/>
        <w:jc w:val="both"/>
        <w:rPr>
          <w:i/>
          <w:szCs w:val="28"/>
        </w:rPr>
      </w:pPr>
      <w:r w:rsidRPr="00662BA1">
        <w:rPr>
          <w:i/>
          <w:szCs w:val="28"/>
        </w:rPr>
        <w:t>The bank accounts as a repository of funds</w:t>
      </w:r>
    </w:p>
    <w:p w:rsidR="00176C73" w:rsidRPr="00662BA1" w:rsidRDefault="00052537" w:rsidP="00C35916">
      <w:pPr>
        <w:tabs>
          <w:tab w:val="clear" w:pos="4320"/>
          <w:tab w:val="clear" w:pos="9072"/>
        </w:tabs>
        <w:snapToGrid/>
        <w:spacing w:before="360" w:line="360" w:lineRule="auto"/>
        <w:jc w:val="both"/>
        <w:rPr>
          <w:szCs w:val="28"/>
        </w:rPr>
      </w:pPr>
      <w:r w:rsidRPr="00662BA1">
        <w:rPr>
          <w:szCs w:val="28"/>
        </w:rPr>
        <w:fldChar w:fldCharType="begin"/>
      </w:r>
      <w:r w:rsidR="00FA68A3" w:rsidRPr="00662BA1">
        <w:rPr>
          <w:szCs w:val="28"/>
        </w:rPr>
        <w:instrText xml:space="preserve"> AUTONUMOUT  </w:instrText>
      </w:r>
      <w:r w:rsidRPr="00662BA1">
        <w:rPr>
          <w:szCs w:val="28"/>
        </w:rPr>
        <w:fldChar w:fldCharType="end"/>
      </w:r>
      <w:r w:rsidR="00FA68A3" w:rsidRPr="00662BA1">
        <w:rPr>
          <w:szCs w:val="28"/>
        </w:rPr>
        <w:tab/>
      </w:r>
      <w:r w:rsidR="00176C73" w:rsidRPr="00662BA1">
        <w:rPr>
          <w:szCs w:val="28"/>
        </w:rPr>
        <w:t>Immediately before embarking upon his determination of the verdicts in respect of each of the charges the judge n</w:t>
      </w:r>
      <w:r w:rsidR="00FA68A3" w:rsidRPr="00662BA1">
        <w:rPr>
          <w:szCs w:val="28"/>
        </w:rPr>
        <w:t>oted that, although there were five</w:t>
      </w:r>
      <w:r w:rsidR="00176C73" w:rsidRPr="00662BA1">
        <w:rPr>
          <w:szCs w:val="28"/>
        </w:rPr>
        <w:t xml:space="preserve"> separate ch</w:t>
      </w:r>
      <w:r w:rsidR="00FA68A3" w:rsidRPr="00662BA1">
        <w:rPr>
          <w:szCs w:val="28"/>
        </w:rPr>
        <w:t>arges, “</w:t>
      </w:r>
      <w:r w:rsidR="00176C73" w:rsidRPr="00662BA1">
        <w:rPr>
          <w:szCs w:val="28"/>
        </w:rPr>
        <w:t>the movements of funds in the accounts do not stand en</w:t>
      </w:r>
      <w:r w:rsidR="00FA68A3" w:rsidRPr="00662BA1">
        <w:rPr>
          <w:szCs w:val="28"/>
        </w:rPr>
        <w:t>tirely isolated from each other”</w:t>
      </w:r>
      <w:r w:rsidR="00176C73" w:rsidRPr="00662BA1">
        <w:rPr>
          <w:szCs w:val="28"/>
        </w:rPr>
        <w:t xml:space="preserve"> and that the applicant was a signator</w:t>
      </w:r>
      <w:r w:rsidR="00FA68A3" w:rsidRPr="00662BA1">
        <w:rPr>
          <w:szCs w:val="28"/>
        </w:rPr>
        <w:t>y of all the bank accounts and “</w:t>
      </w:r>
      <w:r w:rsidR="00176C73" w:rsidRPr="00662BA1">
        <w:rPr>
          <w:szCs w:val="28"/>
        </w:rPr>
        <w:t>had control over their usage</w:t>
      </w:r>
      <w:r w:rsidR="00FA68A3" w:rsidRPr="00662BA1">
        <w:rPr>
          <w:szCs w:val="28"/>
        </w:rPr>
        <w:t>”</w:t>
      </w:r>
      <w:r w:rsidR="00176C73" w:rsidRPr="00662BA1">
        <w:rPr>
          <w:szCs w:val="28"/>
        </w:rPr>
        <w:t>.</w:t>
      </w:r>
      <w:r w:rsidR="00176C73" w:rsidRPr="00662BA1">
        <w:rPr>
          <w:rStyle w:val="FootnoteReference"/>
          <w:szCs w:val="28"/>
        </w:rPr>
        <w:footnoteReference w:id="82"/>
      </w:r>
      <w:r w:rsidR="00176C73" w:rsidRPr="00662BA1">
        <w:rPr>
          <w:szCs w:val="28"/>
        </w:rPr>
        <w:t xml:space="preserve">  </w:t>
      </w:r>
    </w:p>
    <w:p w:rsidR="00A14FCC" w:rsidRPr="00662BA1" w:rsidRDefault="00052537" w:rsidP="00A14FCC">
      <w:pPr>
        <w:tabs>
          <w:tab w:val="clear" w:pos="4320"/>
          <w:tab w:val="clear" w:pos="9072"/>
        </w:tabs>
        <w:snapToGrid/>
        <w:spacing w:before="360" w:line="360" w:lineRule="auto"/>
        <w:jc w:val="both"/>
        <w:rPr>
          <w:szCs w:val="28"/>
        </w:rPr>
      </w:pPr>
      <w:r w:rsidRPr="00662BA1">
        <w:rPr>
          <w:szCs w:val="28"/>
        </w:rPr>
        <w:fldChar w:fldCharType="begin"/>
      </w:r>
      <w:r w:rsidR="00FA68A3" w:rsidRPr="00662BA1">
        <w:rPr>
          <w:szCs w:val="28"/>
        </w:rPr>
        <w:instrText xml:space="preserve"> AUTONUMOUT  </w:instrText>
      </w:r>
      <w:r w:rsidRPr="00662BA1">
        <w:rPr>
          <w:szCs w:val="28"/>
        </w:rPr>
        <w:fldChar w:fldCharType="end"/>
      </w:r>
      <w:r w:rsidR="00FA68A3" w:rsidRPr="00662BA1">
        <w:rPr>
          <w:szCs w:val="28"/>
        </w:rPr>
        <w:tab/>
      </w:r>
      <w:r w:rsidR="00176C73" w:rsidRPr="00662BA1">
        <w:rPr>
          <w:szCs w:val="28"/>
        </w:rPr>
        <w:t xml:space="preserve">Then, the judge went on to note of the five </w:t>
      </w:r>
      <w:r w:rsidR="00D925B6" w:rsidRPr="00662BA1">
        <w:rPr>
          <w:szCs w:val="28"/>
        </w:rPr>
        <w:t>bank accounts that each “</w:t>
      </w:r>
      <w:r w:rsidR="00176C73" w:rsidRPr="00662BA1">
        <w:rPr>
          <w:szCs w:val="28"/>
        </w:rPr>
        <w:t>has opening and closing balan</w:t>
      </w:r>
      <w:r w:rsidR="00D925B6" w:rsidRPr="00662BA1">
        <w:rPr>
          <w:szCs w:val="28"/>
        </w:rPr>
        <w:t>ces that are relatively similar”</w:t>
      </w:r>
      <w:r w:rsidR="00176C73" w:rsidRPr="00662BA1">
        <w:rPr>
          <w:szCs w:val="28"/>
        </w:rPr>
        <w:t xml:space="preserve">. </w:t>
      </w:r>
      <w:r w:rsidR="00D925B6" w:rsidRPr="00662BA1">
        <w:rPr>
          <w:szCs w:val="28"/>
        </w:rPr>
        <w:t xml:space="preserve"> </w:t>
      </w:r>
      <w:r w:rsidR="00176C73" w:rsidRPr="00662BA1">
        <w:rPr>
          <w:szCs w:val="28"/>
        </w:rPr>
        <w:t>Of that</w:t>
      </w:r>
      <w:r w:rsidR="00D925B6" w:rsidRPr="00662BA1">
        <w:rPr>
          <w:szCs w:val="28"/>
        </w:rPr>
        <w:t xml:space="preserve"> fact, the judge stated that Mr</w:t>
      </w:r>
      <w:proofErr w:type="gramStart"/>
      <w:r w:rsidR="00D925B6" w:rsidRPr="00662BA1">
        <w:rPr>
          <w:szCs w:val="28"/>
        </w:rPr>
        <w:t> </w:t>
      </w:r>
      <w:r w:rsidR="003B0910">
        <w:rPr>
          <w:szCs w:val="28"/>
        </w:rPr>
        <w:t> </w:t>
      </w:r>
      <w:r w:rsidR="00D925B6" w:rsidRPr="00662BA1">
        <w:rPr>
          <w:szCs w:val="28"/>
        </w:rPr>
        <w:t>Sutton</w:t>
      </w:r>
      <w:proofErr w:type="gramEnd"/>
      <w:r w:rsidR="00D925B6" w:rsidRPr="00662BA1">
        <w:rPr>
          <w:szCs w:val="28"/>
        </w:rPr>
        <w:t xml:space="preserve"> had said that was “</w:t>
      </w:r>
      <w:r w:rsidR="00176C73" w:rsidRPr="00662BA1">
        <w:rPr>
          <w:szCs w:val="28"/>
        </w:rPr>
        <w:t>an indication that the accounts had bee</w:t>
      </w:r>
      <w:r w:rsidR="00D925B6" w:rsidRPr="00662BA1">
        <w:rPr>
          <w:szCs w:val="28"/>
        </w:rPr>
        <w:t>n used as a repository of funds”</w:t>
      </w:r>
      <w:r w:rsidR="00176C73" w:rsidRPr="00662BA1">
        <w:rPr>
          <w:szCs w:val="28"/>
        </w:rPr>
        <w:t>.</w:t>
      </w:r>
      <w:r w:rsidR="00176C73" w:rsidRPr="00662BA1">
        <w:rPr>
          <w:rStyle w:val="FootnoteReference"/>
          <w:szCs w:val="28"/>
        </w:rPr>
        <w:footnoteReference w:id="83"/>
      </w:r>
      <w:r w:rsidR="00D925B6" w:rsidRPr="00662BA1">
        <w:rPr>
          <w:szCs w:val="28"/>
        </w:rPr>
        <w:t xml:space="preserve">  </w:t>
      </w:r>
      <w:r w:rsidR="00176C73" w:rsidRPr="00662BA1">
        <w:rPr>
          <w:szCs w:val="28"/>
        </w:rPr>
        <w:t>No reference has been provide</w:t>
      </w:r>
      <w:r w:rsidR="00D925B6" w:rsidRPr="00662BA1">
        <w:rPr>
          <w:szCs w:val="28"/>
        </w:rPr>
        <w:t>d to the Court of Mr </w:t>
      </w:r>
      <w:r w:rsidR="00176C73" w:rsidRPr="00662BA1">
        <w:rPr>
          <w:szCs w:val="28"/>
        </w:rPr>
        <w:t xml:space="preserve">Sutton expressing that opinion, either in his testimony or in his report, and the Court was unable to find such a reference. </w:t>
      </w:r>
      <w:r w:rsidR="00D925B6" w:rsidRPr="00662BA1">
        <w:rPr>
          <w:szCs w:val="28"/>
        </w:rPr>
        <w:t xml:space="preserve"> Insofar as Mr </w:t>
      </w:r>
      <w:r w:rsidR="00176C73" w:rsidRPr="00662BA1">
        <w:rPr>
          <w:szCs w:val="28"/>
        </w:rPr>
        <w:t>Sutton referred to the term ‘repository of funds’ in his written report, he did so in the context of the pattern of the movement of funds in and out of one or other of the bank accounts, rather than in respect of their opening and closing balance.</w:t>
      </w:r>
      <w:r w:rsidR="00176C73" w:rsidRPr="00662BA1">
        <w:rPr>
          <w:rStyle w:val="FootnoteReference"/>
          <w:szCs w:val="28"/>
        </w:rPr>
        <w:footnoteReference w:id="84"/>
      </w:r>
      <w:r w:rsidR="00176C73" w:rsidRPr="00662BA1">
        <w:rPr>
          <w:szCs w:val="28"/>
        </w:rPr>
        <w:t xml:space="preserve"> </w:t>
      </w:r>
      <w:r w:rsidR="00D925B6" w:rsidRPr="00662BA1">
        <w:rPr>
          <w:szCs w:val="28"/>
        </w:rPr>
        <w:t xml:space="preserve"> </w:t>
      </w:r>
      <w:r w:rsidR="00176C73" w:rsidRPr="00662BA1">
        <w:rPr>
          <w:szCs w:val="28"/>
        </w:rPr>
        <w:t>Nevertheless, as the judge noted earlier,</w:t>
      </w:r>
      <w:r w:rsidR="00176C73" w:rsidRPr="00662BA1">
        <w:rPr>
          <w:rStyle w:val="FootnoteReference"/>
          <w:szCs w:val="28"/>
        </w:rPr>
        <w:footnoteReference w:id="85"/>
      </w:r>
      <w:r w:rsidR="00176C73" w:rsidRPr="00662BA1">
        <w:rPr>
          <w:szCs w:val="28"/>
        </w:rPr>
        <w:t xml:space="preserve"> it is clear that the prosecution put its case on the basis that the similarity of the opening and closing balances in each of the bank accounts suggested that each account was used as a repository of funds. </w:t>
      </w:r>
      <w:r w:rsidR="00A14FCC" w:rsidRPr="00662BA1">
        <w:rPr>
          <w:szCs w:val="28"/>
        </w:rPr>
        <w:t xml:space="preserve"> </w:t>
      </w:r>
      <w:r w:rsidR="00176C73" w:rsidRPr="00662BA1">
        <w:rPr>
          <w:szCs w:val="28"/>
        </w:rPr>
        <w:t>Certainly, that was the submission made in the written closing speech of the prosecution.</w:t>
      </w:r>
      <w:r w:rsidR="00176C73" w:rsidRPr="00662BA1">
        <w:rPr>
          <w:rStyle w:val="FootnoteReference"/>
          <w:szCs w:val="28"/>
        </w:rPr>
        <w:footnoteReference w:id="86"/>
      </w:r>
      <w:r w:rsidR="00A14FCC" w:rsidRPr="00662BA1">
        <w:rPr>
          <w:szCs w:val="28"/>
        </w:rPr>
        <w:t xml:space="preserve">  However, Mr</w:t>
      </w:r>
      <w:proofErr w:type="gramStart"/>
      <w:r w:rsidR="003B0910">
        <w:rPr>
          <w:szCs w:val="28"/>
        </w:rPr>
        <w:t>  </w:t>
      </w:r>
      <w:r w:rsidR="00176C73" w:rsidRPr="00662BA1">
        <w:rPr>
          <w:szCs w:val="28"/>
        </w:rPr>
        <w:t>Reading</w:t>
      </w:r>
      <w:proofErr w:type="gramEnd"/>
      <w:r w:rsidR="00176C73" w:rsidRPr="00662BA1">
        <w:rPr>
          <w:szCs w:val="28"/>
        </w:rPr>
        <w:t xml:space="preserve"> did not provide any reason</w:t>
      </w:r>
      <w:r w:rsidR="00A14FCC" w:rsidRPr="00662BA1">
        <w:rPr>
          <w:szCs w:val="28"/>
        </w:rPr>
        <w:t xml:space="preserve">s for his submission that </w:t>
      </w:r>
      <w:r w:rsidR="000D4EAC">
        <w:rPr>
          <w:szCs w:val="28"/>
        </w:rPr>
        <w:t xml:space="preserve">the mere </w:t>
      </w:r>
      <w:r w:rsidR="00A14FCC" w:rsidRPr="00662BA1">
        <w:rPr>
          <w:szCs w:val="28"/>
        </w:rPr>
        <w:t>fact “strongly suggests”</w:t>
      </w:r>
      <w:r w:rsidR="00176C73" w:rsidRPr="00662BA1">
        <w:rPr>
          <w:szCs w:val="28"/>
        </w:rPr>
        <w:t xml:space="preserve"> that was the case.</w:t>
      </w:r>
    </w:p>
    <w:p w:rsidR="00176C73" w:rsidRPr="00662BA1" w:rsidRDefault="00052537" w:rsidP="00A14FCC">
      <w:pPr>
        <w:tabs>
          <w:tab w:val="clear" w:pos="4320"/>
          <w:tab w:val="clear" w:pos="9072"/>
        </w:tabs>
        <w:snapToGrid/>
        <w:spacing w:before="360" w:line="360" w:lineRule="auto"/>
        <w:jc w:val="both"/>
        <w:rPr>
          <w:szCs w:val="28"/>
        </w:rPr>
      </w:pPr>
      <w:r w:rsidRPr="00662BA1">
        <w:rPr>
          <w:szCs w:val="28"/>
        </w:rPr>
        <w:fldChar w:fldCharType="begin"/>
      </w:r>
      <w:r w:rsidR="00A14FCC" w:rsidRPr="00662BA1">
        <w:rPr>
          <w:szCs w:val="28"/>
        </w:rPr>
        <w:instrText xml:space="preserve"> AUTONUMOUT  </w:instrText>
      </w:r>
      <w:r w:rsidRPr="00662BA1">
        <w:rPr>
          <w:szCs w:val="28"/>
        </w:rPr>
        <w:fldChar w:fldCharType="end"/>
      </w:r>
      <w:r w:rsidR="00A14FCC" w:rsidRPr="00662BA1">
        <w:rPr>
          <w:szCs w:val="28"/>
        </w:rPr>
        <w:tab/>
      </w:r>
      <w:r w:rsidR="00176C73" w:rsidRPr="00662BA1">
        <w:rPr>
          <w:szCs w:val="28"/>
        </w:rPr>
        <w:t>Of the significance of the fact that there were similar opening and closing balances in each of the bank accounts, the judge said:</w:t>
      </w:r>
      <w:r w:rsidR="00176C73" w:rsidRPr="00662BA1">
        <w:rPr>
          <w:rStyle w:val="FootnoteReference"/>
          <w:szCs w:val="28"/>
        </w:rPr>
        <w:footnoteReference w:id="87"/>
      </w:r>
    </w:p>
    <w:p w:rsidR="00A14FCC" w:rsidRPr="00662BA1" w:rsidRDefault="00A14FCC" w:rsidP="00A14FCC">
      <w:pPr>
        <w:pStyle w:val="ListParagraph"/>
        <w:tabs>
          <w:tab w:val="clear" w:pos="1440"/>
          <w:tab w:val="clear" w:pos="4320"/>
          <w:tab w:val="clear" w:pos="9072"/>
          <w:tab w:val="left" w:pos="2074"/>
        </w:tabs>
        <w:snapToGrid/>
        <w:spacing w:before="240"/>
        <w:ind w:left="1454" w:right="835" w:hanging="187"/>
        <w:jc w:val="both"/>
        <w:rPr>
          <w:sz w:val="24"/>
          <w:szCs w:val="24"/>
        </w:rPr>
      </w:pPr>
      <w:r w:rsidRPr="00662BA1">
        <w:rPr>
          <w:sz w:val="24"/>
          <w:szCs w:val="24"/>
        </w:rPr>
        <w:t>“</w:t>
      </w:r>
      <w:r w:rsidRPr="00662BA1">
        <w:rPr>
          <w:sz w:val="24"/>
          <w:szCs w:val="24"/>
        </w:rPr>
        <w:tab/>
      </w:r>
      <w:r w:rsidR="00176C73" w:rsidRPr="00662BA1">
        <w:rPr>
          <w:sz w:val="24"/>
          <w:szCs w:val="24"/>
        </w:rPr>
        <w:t xml:space="preserve">I find that regardless of what this fact is labelled, any reasonable person seeing </w:t>
      </w:r>
      <w:r w:rsidR="00176C73" w:rsidRPr="00662BA1">
        <w:rPr>
          <w:i/>
          <w:sz w:val="24"/>
          <w:szCs w:val="24"/>
        </w:rPr>
        <w:t>how huge amount</w:t>
      </w:r>
      <w:r w:rsidR="000D4EAC">
        <w:rPr>
          <w:i/>
          <w:sz w:val="24"/>
          <w:szCs w:val="24"/>
        </w:rPr>
        <w:t>(s)</w:t>
      </w:r>
      <w:r w:rsidR="00176C73" w:rsidRPr="00662BA1">
        <w:rPr>
          <w:i/>
          <w:sz w:val="24"/>
          <w:szCs w:val="24"/>
        </w:rPr>
        <w:t xml:space="preserve"> of money had gone through the accounts the way they had over the years</w:t>
      </w:r>
      <w:r w:rsidR="00176C73" w:rsidRPr="00662BA1">
        <w:rPr>
          <w:sz w:val="24"/>
          <w:szCs w:val="24"/>
        </w:rPr>
        <w:t xml:space="preserve"> </w:t>
      </w:r>
      <w:r w:rsidR="00176C73" w:rsidRPr="00662BA1">
        <w:rPr>
          <w:i/>
          <w:sz w:val="24"/>
          <w:szCs w:val="24"/>
        </w:rPr>
        <w:t>would find the fact that in each of the account the ending balance always almost matches the opening balance extremely strange, and would conclude that</w:t>
      </w:r>
      <w:r w:rsidR="00176C73" w:rsidRPr="00662BA1">
        <w:rPr>
          <w:sz w:val="24"/>
          <w:szCs w:val="24"/>
        </w:rPr>
        <w:t xml:space="preserve"> </w:t>
      </w:r>
      <w:r w:rsidR="00176C73" w:rsidRPr="00662BA1">
        <w:rPr>
          <w:i/>
          <w:sz w:val="24"/>
          <w:szCs w:val="24"/>
        </w:rPr>
        <w:t>it was one of the reasonable grounds to believe</w:t>
      </w:r>
      <w:r w:rsidR="00176C73" w:rsidRPr="00662BA1">
        <w:rPr>
          <w:sz w:val="24"/>
          <w:szCs w:val="24"/>
        </w:rPr>
        <w:t xml:space="preserve"> that the funds that had been dealt with by the defendant in the account over the years represented wholly or in part, directly or indirectly proceeds of an ind</w:t>
      </w:r>
      <w:r w:rsidRPr="00662BA1">
        <w:rPr>
          <w:sz w:val="24"/>
          <w:szCs w:val="24"/>
        </w:rPr>
        <w:t xml:space="preserve">ictable offence.” </w:t>
      </w:r>
      <w:r w:rsidR="00176C73" w:rsidRPr="00662BA1">
        <w:rPr>
          <w:sz w:val="24"/>
          <w:szCs w:val="24"/>
        </w:rPr>
        <w:t xml:space="preserve"> [Italics added.]</w:t>
      </w:r>
    </w:p>
    <w:p w:rsidR="00A14FCC" w:rsidRPr="00662BA1" w:rsidRDefault="00A14FCC" w:rsidP="00A14FCC">
      <w:pPr>
        <w:pStyle w:val="ListParagraph"/>
        <w:tabs>
          <w:tab w:val="clear" w:pos="1440"/>
          <w:tab w:val="clear" w:pos="4320"/>
          <w:tab w:val="clear" w:pos="9072"/>
          <w:tab w:val="left" w:pos="2074"/>
        </w:tabs>
        <w:snapToGrid/>
        <w:spacing w:line="80" w:lineRule="exact"/>
        <w:ind w:left="1454" w:right="835" w:hanging="187"/>
        <w:jc w:val="both"/>
        <w:rPr>
          <w:sz w:val="24"/>
          <w:szCs w:val="24"/>
        </w:rPr>
      </w:pPr>
    </w:p>
    <w:p w:rsidR="00176C73" w:rsidRPr="00662BA1" w:rsidRDefault="00176C73" w:rsidP="00A14FCC">
      <w:pPr>
        <w:pStyle w:val="ListParagraph"/>
        <w:tabs>
          <w:tab w:val="clear" w:pos="1440"/>
          <w:tab w:val="clear" w:pos="4320"/>
          <w:tab w:val="clear" w:pos="9072"/>
          <w:tab w:val="left" w:pos="2074"/>
        </w:tabs>
        <w:snapToGrid/>
        <w:spacing w:line="80" w:lineRule="exact"/>
        <w:ind w:left="1454" w:right="835" w:hanging="187"/>
        <w:jc w:val="both"/>
        <w:rPr>
          <w:sz w:val="24"/>
          <w:szCs w:val="24"/>
        </w:rPr>
      </w:pPr>
    </w:p>
    <w:p w:rsidR="0031022F" w:rsidRPr="00662BA1" w:rsidRDefault="00052537" w:rsidP="0031022F">
      <w:pPr>
        <w:tabs>
          <w:tab w:val="clear" w:pos="4320"/>
          <w:tab w:val="clear" w:pos="9072"/>
        </w:tabs>
        <w:snapToGrid/>
        <w:spacing w:before="360" w:line="360" w:lineRule="auto"/>
        <w:jc w:val="both"/>
        <w:rPr>
          <w:szCs w:val="28"/>
        </w:rPr>
      </w:pPr>
      <w:r w:rsidRPr="00662BA1">
        <w:rPr>
          <w:szCs w:val="28"/>
        </w:rPr>
        <w:fldChar w:fldCharType="begin"/>
      </w:r>
      <w:r w:rsidR="00A14FCC" w:rsidRPr="00662BA1">
        <w:rPr>
          <w:szCs w:val="28"/>
        </w:rPr>
        <w:instrText xml:space="preserve"> AUTONUMOUT  </w:instrText>
      </w:r>
      <w:r w:rsidRPr="00662BA1">
        <w:rPr>
          <w:szCs w:val="28"/>
        </w:rPr>
        <w:fldChar w:fldCharType="end"/>
      </w:r>
      <w:r w:rsidR="00A14FCC" w:rsidRPr="00662BA1">
        <w:rPr>
          <w:szCs w:val="28"/>
        </w:rPr>
        <w:tab/>
      </w:r>
      <w:r w:rsidR="00176C73" w:rsidRPr="00662BA1">
        <w:rPr>
          <w:szCs w:val="28"/>
        </w:rPr>
        <w:t xml:space="preserve">For his part, the judge did not condescend to provide any reasons why it was that he found that a reasonable person would find, together with the other circumstances he noted, the fact of matching opening and closing balances in each of the </w:t>
      </w:r>
      <w:r w:rsidR="0031022F" w:rsidRPr="00662BA1">
        <w:rPr>
          <w:szCs w:val="28"/>
        </w:rPr>
        <w:t>five bank accounts “</w:t>
      </w:r>
      <w:r w:rsidR="00176C73" w:rsidRPr="00662BA1">
        <w:rPr>
          <w:szCs w:val="28"/>
        </w:rPr>
        <w:t>extremely strange</w:t>
      </w:r>
      <w:r w:rsidR="0031022F" w:rsidRPr="00662BA1">
        <w:rPr>
          <w:szCs w:val="28"/>
        </w:rPr>
        <w:t>”</w:t>
      </w:r>
      <w:r w:rsidR="00176C73" w:rsidRPr="00662BA1">
        <w:rPr>
          <w:szCs w:val="28"/>
        </w:rPr>
        <w:t xml:space="preserve"> and, more importantly, that a reasonable person would conclude that it was one of the reasonable grounds to believe that the monies were the proceeds of an indictable offence. </w:t>
      </w:r>
      <w:r w:rsidR="0031022F" w:rsidRPr="00662BA1">
        <w:rPr>
          <w:szCs w:val="28"/>
        </w:rPr>
        <w:t xml:space="preserve"> </w:t>
      </w:r>
      <w:r w:rsidR="00176C73" w:rsidRPr="00662BA1">
        <w:rPr>
          <w:szCs w:val="28"/>
        </w:rPr>
        <w:t xml:space="preserve">No doubt, from the bare fact that the opening and closing balances in each of the accounts were similar it was to be inferred that the bank accounts were used to receive monies, which were then remitted elsewhere. </w:t>
      </w:r>
      <w:r w:rsidR="0031022F" w:rsidRPr="00662BA1">
        <w:rPr>
          <w:szCs w:val="28"/>
        </w:rPr>
        <w:t xml:space="preserve"> </w:t>
      </w:r>
      <w:r w:rsidR="00176C73" w:rsidRPr="00662BA1">
        <w:rPr>
          <w:szCs w:val="28"/>
        </w:rPr>
        <w:t xml:space="preserve">To that extent, clearly the bank accounts were each used as a repository for funds. </w:t>
      </w:r>
      <w:r w:rsidR="0031022F" w:rsidRPr="00662BA1">
        <w:rPr>
          <w:szCs w:val="28"/>
        </w:rPr>
        <w:t xml:space="preserve"> </w:t>
      </w:r>
      <w:r w:rsidR="00176C73" w:rsidRPr="00662BA1">
        <w:rPr>
          <w:szCs w:val="28"/>
        </w:rPr>
        <w:t>But, why was that one of the reasonable grounds to believe that the monies were the proceeds of an i</w:t>
      </w:r>
      <w:r w:rsidR="0031022F" w:rsidRPr="00662BA1">
        <w:rPr>
          <w:szCs w:val="28"/>
        </w:rPr>
        <w:t xml:space="preserve">ndictable offence? </w:t>
      </w:r>
      <w:r w:rsidR="003B0910">
        <w:rPr>
          <w:szCs w:val="28"/>
        </w:rPr>
        <w:t xml:space="preserve"> </w:t>
      </w:r>
      <w:r w:rsidR="0031022F" w:rsidRPr="00662BA1">
        <w:rPr>
          <w:szCs w:val="28"/>
        </w:rPr>
        <w:t>In the judge’</w:t>
      </w:r>
      <w:r w:rsidR="00176C73" w:rsidRPr="00662BA1">
        <w:rPr>
          <w:szCs w:val="28"/>
        </w:rPr>
        <w:t>s analysis, the answer lay in the context of the other factors to which he made reference</w:t>
      </w:r>
      <w:r w:rsidR="0031022F" w:rsidRPr="00662BA1">
        <w:rPr>
          <w:szCs w:val="28"/>
        </w:rPr>
        <w:t>, namely the “huge amount of money”</w:t>
      </w:r>
      <w:r w:rsidR="00176C73" w:rsidRPr="00662BA1">
        <w:rPr>
          <w:szCs w:val="28"/>
        </w:rPr>
        <w:t xml:space="preserve"> that had</w:t>
      </w:r>
      <w:r w:rsidR="0031022F" w:rsidRPr="00662BA1">
        <w:rPr>
          <w:szCs w:val="28"/>
        </w:rPr>
        <w:t xml:space="preserve"> gone through the accounts and “</w:t>
      </w:r>
      <w:r w:rsidR="00176C73" w:rsidRPr="00662BA1">
        <w:rPr>
          <w:szCs w:val="28"/>
        </w:rPr>
        <w:t>the way they had</w:t>
      </w:r>
      <w:r w:rsidR="0031022F" w:rsidRPr="00662BA1">
        <w:rPr>
          <w:szCs w:val="28"/>
        </w:rPr>
        <w:t>”</w:t>
      </w:r>
      <w:r w:rsidR="00176C73" w:rsidRPr="00662BA1">
        <w:rPr>
          <w:szCs w:val="28"/>
        </w:rPr>
        <w:t xml:space="preserve"> over the years.</w:t>
      </w:r>
    </w:p>
    <w:p w:rsidR="00176C73" w:rsidRPr="00662BA1" w:rsidRDefault="00052537" w:rsidP="00C35916">
      <w:pPr>
        <w:tabs>
          <w:tab w:val="clear" w:pos="4320"/>
          <w:tab w:val="clear" w:pos="9072"/>
        </w:tabs>
        <w:snapToGrid/>
        <w:spacing w:before="360" w:line="360" w:lineRule="auto"/>
        <w:jc w:val="both"/>
        <w:rPr>
          <w:szCs w:val="28"/>
        </w:rPr>
      </w:pPr>
      <w:r w:rsidRPr="00662BA1">
        <w:rPr>
          <w:szCs w:val="28"/>
        </w:rPr>
        <w:fldChar w:fldCharType="begin"/>
      </w:r>
      <w:r w:rsidR="0031022F" w:rsidRPr="00662BA1">
        <w:rPr>
          <w:szCs w:val="28"/>
        </w:rPr>
        <w:instrText xml:space="preserve"> AUTONUMOUT  </w:instrText>
      </w:r>
      <w:r w:rsidRPr="00662BA1">
        <w:rPr>
          <w:szCs w:val="28"/>
        </w:rPr>
        <w:fldChar w:fldCharType="end"/>
      </w:r>
      <w:r w:rsidR="0031022F" w:rsidRPr="00662BA1">
        <w:rPr>
          <w:szCs w:val="28"/>
        </w:rPr>
        <w:tab/>
      </w:r>
      <w:r w:rsidR="00176C73" w:rsidRPr="00662BA1">
        <w:rPr>
          <w:szCs w:val="28"/>
        </w:rPr>
        <w:t xml:space="preserve">It is to be noted that there was no dispute that the applicant maintained bank accounts other than bank accounts A-C. </w:t>
      </w:r>
      <w:r w:rsidR="0031022F" w:rsidRPr="00662BA1">
        <w:rPr>
          <w:szCs w:val="28"/>
        </w:rPr>
        <w:t xml:space="preserve"> </w:t>
      </w:r>
      <w:r w:rsidR="00176C73" w:rsidRPr="00662BA1">
        <w:rPr>
          <w:szCs w:val="28"/>
        </w:rPr>
        <w:t>Deposits from and rem</w:t>
      </w:r>
      <w:r w:rsidR="001C1758">
        <w:rPr>
          <w:szCs w:val="28"/>
        </w:rPr>
        <w:t>ittances to those accounts and a</w:t>
      </w:r>
      <w:r w:rsidR="00176C73" w:rsidRPr="00662BA1">
        <w:rPr>
          <w:szCs w:val="28"/>
        </w:rPr>
        <w:t>ccounts A-C were made by bank transfer.</w:t>
      </w:r>
      <w:r w:rsidR="00176C73" w:rsidRPr="00662BA1">
        <w:rPr>
          <w:rStyle w:val="FootnoteReference"/>
          <w:szCs w:val="28"/>
        </w:rPr>
        <w:footnoteReference w:id="88"/>
      </w:r>
      <w:r w:rsidR="00176C73" w:rsidRPr="00662BA1">
        <w:rPr>
          <w:szCs w:val="28"/>
        </w:rPr>
        <w:t xml:space="preserve"> </w:t>
      </w:r>
      <w:r w:rsidR="0031022F" w:rsidRPr="00662BA1">
        <w:rPr>
          <w:szCs w:val="28"/>
        </w:rPr>
        <w:t xml:space="preserve"> </w:t>
      </w:r>
      <w:r w:rsidR="00176C73" w:rsidRPr="00662BA1">
        <w:rPr>
          <w:szCs w:val="28"/>
        </w:rPr>
        <w:t>Similarly, there was no dispute that the applicant had accounts with many securities firms from and to which deposits and remittances respectively were made and received by cheque and bank transfer.</w:t>
      </w:r>
      <w:r w:rsidR="00176C73" w:rsidRPr="00662BA1">
        <w:rPr>
          <w:rStyle w:val="FootnoteReference"/>
          <w:szCs w:val="28"/>
        </w:rPr>
        <w:footnoteReference w:id="89"/>
      </w:r>
      <w:r w:rsidR="00176C73" w:rsidRPr="00662BA1">
        <w:rPr>
          <w:szCs w:val="28"/>
        </w:rPr>
        <w:t xml:space="preserve"> </w:t>
      </w:r>
      <w:r w:rsidR="0031022F" w:rsidRPr="00662BA1">
        <w:rPr>
          <w:szCs w:val="28"/>
        </w:rPr>
        <w:t xml:space="preserve"> </w:t>
      </w:r>
      <w:r w:rsidR="00176C73" w:rsidRPr="00662BA1">
        <w:rPr>
          <w:szCs w:val="28"/>
        </w:rPr>
        <w:t>Indeed, the judge noted that deposits of about $121</w:t>
      </w:r>
      <w:r w:rsidR="0031022F" w:rsidRPr="00662BA1">
        <w:rPr>
          <w:szCs w:val="28"/>
        </w:rPr>
        <w:t> </w:t>
      </w:r>
      <w:r w:rsidR="00176C73" w:rsidRPr="00662BA1">
        <w:rPr>
          <w:szCs w:val="28"/>
        </w:rPr>
        <w:t>million had been made from the accounts in the securities firms into the five bank accounts.</w:t>
      </w:r>
      <w:r w:rsidR="00176C73" w:rsidRPr="00662BA1">
        <w:rPr>
          <w:rStyle w:val="FootnoteReference"/>
          <w:szCs w:val="28"/>
        </w:rPr>
        <w:footnoteReference w:id="90"/>
      </w:r>
      <w:r w:rsidR="00176C73" w:rsidRPr="00662BA1">
        <w:rPr>
          <w:szCs w:val="28"/>
        </w:rPr>
        <w:t xml:space="preserve"> </w:t>
      </w:r>
      <w:r w:rsidR="0031022F" w:rsidRPr="00662BA1">
        <w:rPr>
          <w:szCs w:val="28"/>
        </w:rPr>
        <w:t xml:space="preserve"> For his part, Mr</w:t>
      </w:r>
      <w:proofErr w:type="gramStart"/>
      <w:r w:rsidR="0031022F" w:rsidRPr="00662BA1">
        <w:rPr>
          <w:szCs w:val="28"/>
        </w:rPr>
        <w:t> </w:t>
      </w:r>
      <w:r w:rsidR="001C1758">
        <w:rPr>
          <w:szCs w:val="28"/>
        </w:rPr>
        <w:t> </w:t>
      </w:r>
      <w:r w:rsidR="00176C73" w:rsidRPr="00662BA1">
        <w:rPr>
          <w:szCs w:val="28"/>
        </w:rPr>
        <w:t>Sutton</w:t>
      </w:r>
      <w:proofErr w:type="gramEnd"/>
      <w:r w:rsidR="00176C73" w:rsidRPr="00662BA1">
        <w:rPr>
          <w:szCs w:val="28"/>
        </w:rPr>
        <w:t xml:space="preserve"> id</w:t>
      </w:r>
      <w:r w:rsidR="0031022F" w:rsidRPr="00662BA1">
        <w:rPr>
          <w:szCs w:val="28"/>
        </w:rPr>
        <w:t>entified deposits of about $119 </w:t>
      </w:r>
      <w:r w:rsidR="00176C73" w:rsidRPr="00662BA1">
        <w:rPr>
          <w:szCs w:val="28"/>
        </w:rPr>
        <w:t>million from the securities firms to the five bank accounts</w:t>
      </w:r>
      <w:r w:rsidR="0031022F" w:rsidRPr="00662BA1">
        <w:rPr>
          <w:szCs w:val="28"/>
        </w:rPr>
        <w:t xml:space="preserve"> and remittances of about $78.5 </w:t>
      </w:r>
      <w:r w:rsidR="00176C73" w:rsidRPr="00662BA1">
        <w:rPr>
          <w:szCs w:val="28"/>
        </w:rPr>
        <w:t>million made to the accounts in securities firms from the bank accounts.</w:t>
      </w:r>
      <w:r w:rsidR="00176C73" w:rsidRPr="00662BA1">
        <w:rPr>
          <w:rStyle w:val="FootnoteReference"/>
          <w:szCs w:val="28"/>
        </w:rPr>
        <w:footnoteReference w:id="91"/>
      </w:r>
      <w:r w:rsidR="00176C73" w:rsidRPr="00662BA1">
        <w:rPr>
          <w:szCs w:val="28"/>
        </w:rPr>
        <w:t xml:space="preserve">       </w:t>
      </w:r>
    </w:p>
    <w:p w:rsidR="0031022F" w:rsidRPr="00662BA1" w:rsidRDefault="00052537" w:rsidP="0031022F">
      <w:pPr>
        <w:tabs>
          <w:tab w:val="clear" w:pos="4320"/>
          <w:tab w:val="clear" w:pos="9072"/>
        </w:tabs>
        <w:snapToGrid/>
        <w:spacing w:before="360" w:line="360" w:lineRule="auto"/>
        <w:jc w:val="both"/>
        <w:rPr>
          <w:szCs w:val="28"/>
        </w:rPr>
      </w:pPr>
      <w:r w:rsidRPr="00662BA1">
        <w:rPr>
          <w:szCs w:val="28"/>
        </w:rPr>
        <w:fldChar w:fldCharType="begin"/>
      </w:r>
      <w:r w:rsidR="0031022F" w:rsidRPr="00662BA1">
        <w:rPr>
          <w:szCs w:val="28"/>
        </w:rPr>
        <w:instrText xml:space="preserve"> AUTONUMOUT  </w:instrText>
      </w:r>
      <w:r w:rsidRPr="00662BA1">
        <w:rPr>
          <w:szCs w:val="28"/>
        </w:rPr>
        <w:fldChar w:fldCharType="end"/>
      </w:r>
      <w:r w:rsidR="0031022F" w:rsidRPr="00662BA1">
        <w:rPr>
          <w:szCs w:val="28"/>
        </w:rPr>
        <w:tab/>
      </w:r>
      <w:r w:rsidR="00176C73" w:rsidRPr="00662BA1">
        <w:rPr>
          <w:szCs w:val="28"/>
        </w:rPr>
        <w:t>Without having regard to the balances in the other bank accounts of the applicant, or the manner in which they were utilised, or to the holdings in the accounts in the securities firms held in the name of the applicant it seems to us that there was an absence of context for any real significance to be attached to the fact that the opening and closing balances almost matched in the five bank accounts.</w:t>
      </w:r>
    </w:p>
    <w:p w:rsidR="00C51517" w:rsidRPr="00662BA1" w:rsidRDefault="00052537" w:rsidP="00C51517">
      <w:pPr>
        <w:tabs>
          <w:tab w:val="clear" w:pos="4320"/>
          <w:tab w:val="clear" w:pos="9072"/>
        </w:tabs>
        <w:snapToGrid/>
        <w:spacing w:before="360" w:line="360" w:lineRule="auto"/>
        <w:jc w:val="both"/>
        <w:rPr>
          <w:szCs w:val="28"/>
        </w:rPr>
      </w:pPr>
      <w:r w:rsidRPr="00662BA1">
        <w:rPr>
          <w:szCs w:val="28"/>
        </w:rPr>
        <w:fldChar w:fldCharType="begin"/>
      </w:r>
      <w:r w:rsidR="0031022F" w:rsidRPr="00662BA1">
        <w:rPr>
          <w:szCs w:val="28"/>
        </w:rPr>
        <w:instrText xml:space="preserve"> AUTONUMOUT  </w:instrText>
      </w:r>
      <w:r w:rsidRPr="00662BA1">
        <w:rPr>
          <w:szCs w:val="28"/>
        </w:rPr>
        <w:fldChar w:fldCharType="end"/>
      </w:r>
      <w:r w:rsidR="0031022F" w:rsidRPr="00662BA1">
        <w:rPr>
          <w:szCs w:val="28"/>
        </w:rPr>
        <w:tab/>
      </w:r>
      <w:r w:rsidR="00176C73" w:rsidRPr="00662BA1">
        <w:rPr>
          <w:szCs w:val="28"/>
        </w:rPr>
        <w:t>In his determination of the verdicts in respect of each of the charges, the judge stipulated the difference between the aggregate of the deposits and the aggregate of the withdrawals in the respective bank accounts in the period stipulated in the Particulars of Offence of each charge</w:t>
      </w:r>
      <w:r w:rsidR="001C1758">
        <w:rPr>
          <w:szCs w:val="28"/>
        </w:rPr>
        <w:t> </w:t>
      </w:r>
      <w:r w:rsidR="00176C73" w:rsidRPr="00662BA1">
        <w:rPr>
          <w:rStyle w:val="FootnoteReference"/>
          <w:szCs w:val="28"/>
        </w:rPr>
        <w:footnoteReference w:id="92"/>
      </w:r>
      <w:r w:rsidR="001C1758">
        <w:rPr>
          <w:szCs w:val="28"/>
        </w:rPr>
        <w:t xml:space="preserve"> </w:t>
      </w:r>
      <w:r w:rsidR="00C51517" w:rsidRPr="00662BA1">
        <w:rPr>
          <w:szCs w:val="28"/>
        </w:rPr>
        <w:t>and made a finding that, “</w:t>
      </w:r>
      <w:r w:rsidR="00176C73" w:rsidRPr="00662BA1">
        <w:rPr>
          <w:szCs w:val="28"/>
        </w:rPr>
        <w:t>the overall almost identical amount of deposits and withdrawals in the account shows that the account had been used as a repository of funds</w:t>
      </w:r>
      <w:r w:rsidR="00C51517" w:rsidRPr="00662BA1">
        <w:rPr>
          <w:szCs w:val="28"/>
        </w:rPr>
        <w:t>”</w:t>
      </w:r>
      <w:r w:rsidR="00176C73" w:rsidRPr="00662BA1">
        <w:rPr>
          <w:szCs w:val="28"/>
        </w:rPr>
        <w:t>.</w:t>
      </w:r>
      <w:r w:rsidR="00176C73" w:rsidRPr="00662BA1">
        <w:rPr>
          <w:rStyle w:val="FootnoteReference"/>
          <w:szCs w:val="28"/>
        </w:rPr>
        <w:footnoteReference w:id="93"/>
      </w:r>
      <w:r w:rsidR="00176C73" w:rsidRPr="00662BA1">
        <w:rPr>
          <w:szCs w:val="28"/>
        </w:rPr>
        <w:t xml:space="preserve"> </w:t>
      </w:r>
    </w:p>
    <w:p w:rsidR="00C51517" w:rsidRPr="00662BA1" w:rsidRDefault="00052537" w:rsidP="00C51517">
      <w:pPr>
        <w:tabs>
          <w:tab w:val="clear" w:pos="4320"/>
          <w:tab w:val="clear" w:pos="9072"/>
        </w:tabs>
        <w:snapToGrid/>
        <w:spacing w:before="360" w:line="360" w:lineRule="auto"/>
        <w:jc w:val="both"/>
        <w:rPr>
          <w:szCs w:val="28"/>
        </w:rPr>
      </w:pPr>
      <w:r w:rsidRPr="00662BA1">
        <w:rPr>
          <w:szCs w:val="28"/>
        </w:rPr>
        <w:fldChar w:fldCharType="begin"/>
      </w:r>
      <w:r w:rsidR="00C51517" w:rsidRPr="00662BA1">
        <w:rPr>
          <w:szCs w:val="28"/>
        </w:rPr>
        <w:instrText xml:space="preserve"> AUTONUMOUT  </w:instrText>
      </w:r>
      <w:r w:rsidRPr="00662BA1">
        <w:rPr>
          <w:szCs w:val="28"/>
        </w:rPr>
        <w:fldChar w:fldCharType="end"/>
      </w:r>
      <w:r w:rsidR="00C51517" w:rsidRPr="00662BA1">
        <w:rPr>
          <w:szCs w:val="28"/>
        </w:rPr>
        <w:tab/>
      </w:r>
      <w:r w:rsidR="00176C73" w:rsidRPr="00662BA1">
        <w:rPr>
          <w:szCs w:val="28"/>
        </w:rPr>
        <w:t>It is clear, in c</w:t>
      </w:r>
      <w:r w:rsidR="00C51517" w:rsidRPr="00662BA1">
        <w:rPr>
          <w:szCs w:val="28"/>
        </w:rPr>
        <w:t>ontext, that in using the term “</w:t>
      </w:r>
      <w:r w:rsidR="00176C73" w:rsidRPr="00662BA1">
        <w:rPr>
          <w:szCs w:val="28"/>
        </w:rPr>
        <w:t>overall</w:t>
      </w:r>
      <w:r w:rsidR="00C51517" w:rsidRPr="00662BA1">
        <w:rPr>
          <w:szCs w:val="28"/>
        </w:rPr>
        <w:t>”</w:t>
      </w:r>
      <w:r w:rsidR="00176C73" w:rsidRPr="00662BA1">
        <w:rPr>
          <w:szCs w:val="28"/>
        </w:rPr>
        <w:t xml:space="preserve"> the judge was referring to the aggregate of the deposits and the aggregate of the withdrawals in the period stipulated in the Particulars of Offence, namely a period of more than </w:t>
      </w:r>
      <w:r w:rsidR="00C51517" w:rsidRPr="00662BA1">
        <w:rPr>
          <w:szCs w:val="28"/>
        </w:rPr>
        <w:t>six</w:t>
      </w:r>
      <w:r w:rsidR="00176C73" w:rsidRPr="00662BA1">
        <w:rPr>
          <w:szCs w:val="28"/>
        </w:rPr>
        <w:t xml:space="preserve"> years. </w:t>
      </w:r>
    </w:p>
    <w:p w:rsidR="00DD4DFB" w:rsidRPr="00662BA1" w:rsidRDefault="00052537" w:rsidP="00DD4DFB">
      <w:pPr>
        <w:tabs>
          <w:tab w:val="clear" w:pos="4320"/>
          <w:tab w:val="clear" w:pos="9072"/>
        </w:tabs>
        <w:snapToGrid/>
        <w:spacing w:before="360" w:line="360" w:lineRule="auto"/>
        <w:jc w:val="both"/>
        <w:rPr>
          <w:szCs w:val="28"/>
        </w:rPr>
      </w:pPr>
      <w:r w:rsidRPr="00662BA1">
        <w:rPr>
          <w:szCs w:val="28"/>
        </w:rPr>
        <w:fldChar w:fldCharType="begin"/>
      </w:r>
      <w:r w:rsidR="00C51517" w:rsidRPr="00662BA1">
        <w:rPr>
          <w:szCs w:val="28"/>
        </w:rPr>
        <w:instrText xml:space="preserve"> AUTONUMOUT  </w:instrText>
      </w:r>
      <w:r w:rsidRPr="00662BA1">
        <w:rPr>
          <w:szCs w:val="28"/>
        </w:rPr>
        <w:fldChar w:fldCharType="end"/>
      </w:r>
      <w:r w:rsidR="00C51517" w:rsidRPr="00662BA1">
        <w:rPr>
          <w:szCs w:val="28"/>
        </w:rPr>
        <w:tab/>
      </w:r>
      <w:r w:rsidR="00176C73" w:rsidRPr="00662BA1">
        <w:rPr>
          <w:szCs w:val="28"/>
        </w:rPr>
        <w:t>One complaint made on behalf of the applicant is that, in consequence of the duplicitous nature of each of the ch</w:t>
      </w:r>
      <w:r w:rsidR="00DD4DFB" w:rsidRPr="00662BA1">
        <w:rPr>
          <w:szCs w:val="28"/>
        </w:rPr>
        <w:t>arges, in having regard to the “overall”</w:t>
      </w:r>
      <w:r w:rsidR="00176C73" w:rsidRPr="00662BA1">
        <w:rPr>
          <w:szCs w:val="28"/>
        </w:rPr>
        <w:t xml:space="preserve"> position in making his determination, the judge erred. </w:t>
      </w:r>
      <w:r w:rsidR="00DD4DFB" w:rsidRPr="00662BA1">
        <w:rPr>
          <w:szCs w:val="28"/>
        </w:rPr>
        <w:t xml:space="preserve"> </w:t>
      </w:r>
      <w:r w:rsidR="00176C73" w:rsidRPr="00662BA1">
        <w:rPr>
          <w:szCs w:val="28"/>
        </w:rPr>
        <w:t>He did so in having regard retrospectively to the net effect of multiple acts of deposits and withdrawals of money in the overall period, rather than focusing on an individual act of dealing with monies by receipt into the respective bank account at the moment of receipt.</w:t>
      </w:r>
      <w:r w:rsidR="00DD4DFB" w:rsidRPr="00662BA1">
        <w:rPr>
          <w:szCs w:val="28"/>
        </w:rPr>
        <w:t xml:space="preserve"> </w:t>
      </w:r>
      <w:r w:rsidR="00176C73" w:rsidRPr="00662BA1">
        <w:rPr>
          <w:szCs w:val="28"/>
        </w:rPr>
        <w:t xml:space="preserve"> In considering whether or not the applicant had reasonable grounds to believe that the monies, with which he dealt in any particular transaction, were the proceeds of an indictable offence, attention was to be focused on that moment in time. </w:t>
      </w:r>
    </w:p>
    <w:p w:rsidR="00176C73" w:rsidRDefault="00052537" w:rsidP="00DD4DFB">
      <w:pPr>
        <w:tabs>
          <w:tab w:val="clear" w:pos="4320"/>
          <w:tab w:val="clear" w:pos="9072"/>
        </w:tabs>
        <w:snapToGrid/>
        <w:spacing w:before="360" w:line="360" w:lineRule="auto"/>
        <w:jc w:val="both"/>
        <w:rPr>
          <w:szCs w:val="28"/>
        </w:rPr>
      </w:pPr>
      <w:r w:rsidRPr="00662BA1">
        <w:rPr>
          <w:szCs w:val="28"/>
        </w:rPr>
        <w:fldChar w:fldCharType="begin"/>
      </w:r>
      <w:r w:rsidR="00DD4DFB" w:rsidRPr="00662BA1">
        <w:rPr>
          <w:szCs w:val="28"/>
        </w:rPr>
        <w:instrText xml:space="preserve"> AUTONUMOUT  </w:instrText>
      </w:r>
      <w:r w:rsidRPr="00662BA1">
        <w:rPr>
          <w:szCs w:val="28"/>
        </w:rPr>
        <w:fldChar w:fldCharType="end"/>
      </w:r>
      <w:r w:rsidR="00DD4DFB" w:rsidRPr="00662BA1">
        <w:rPr>
          <w:szCs w:val="28"/>
        </w:rPr>
        <w:tab/>
      </w:r>
      <w:r w:rsidR="00176C73" w:rsidRPr="00662BA1">
        <w:rPr>
          <w:szCs w:val="28"/>
        </w:rPr>
        <w:t xml:space="preserve">As noted earlier, in his analysis of the significance to be attached to the fact that the opening and closing balances </w:t>
      </w:r>
      <w:r w:rsidR="000D4EAC">
        <w:rPr>
          <w:szCs w:val="28"/>
        </w:rPr>
        <w:t>“</w:t>
      </w:r>
      <w:r w:rsidR="00176C73" w:rsidRPr="00662BA1">
        <w:rPr>
          <w:szCs w:val="28"/>
        </w:rPr>
        <w:t>always almost matche</w:t>
      </w:r>
      <w:r w:rsidR="000D4EAC">
        <w:rPr>
          <w:szCs w:val="28"/>
        </w:rPr>
        <w:t>s”</w:t>
      </w:r>
      <w:r w:rsidR="00176C73" w:rsidRPr="00662BA1">
        <w:rPr>
          <w:szCs w:val="28"/>
        </w:rPr>
        <w:t>, the judge ide</w:t>
      </w:r>
      <w:r w:rsidR="00DD4DFB" w:rsidRPr="00662BA1">
        <w:rPr>
          <w:szCs w:val="28"/>
        </w:rPr>
        <w:t>ntified other evidence, namely “</w:t>
      </w:r>
      <w:r w:rsidR="00176C73" w:rsidRPr="00662BA1">
        <w:rPr>
          <w:szCs w:val="28"/>
        </w:rPr>
        <w:t>how huge amount(s) of money had gone through the accounts the way they had</w:t>
      </w:r>
      <w:r w:rsidR="00DD4DFB" w:rsidRPr="00662BA1">
        <w:rPr>
          <w:szCs w:val="28"/>
        </w:rPr>
        <w:t>”</w:t>
      </w:r>
      <w:r w:rsidR="00176C73" w:rsidRPr="00662BA1">
        <w:rPr>
          <w:szCs w:val="28"/>
        </w:rPr>
        <w:t xml:space="preserve">, which when all were considered together were one of the reasonable grounds to believe that the monies </w:t>
      </w:r>
      <w:r w:rsidR="000D4EAC">
        <w:rPr>
          <w:szCs w:val="28"/>
        </w:rPr>
        <w:t>were the</w:t>
      </w:r>
      <w:r w:rsidR="00176C73" w:rsidRPr="00662BA1">
        <w:rPr>
          <w:szCs w:val="28"/>
        </w:rPr>
        <w:t xml:space="preserve"> proceeds of an offence. </w:t>
      </w:r>
      <w:r w:rsidR="00DD4DFB" w:rsidRPr="00662BA1">
        <w:rPr>
          <w:szCs w:val="28"/>
        </w:rPr>
        <w:t xml:space="preserve"> </w:t>
      </w:r>
      <w:r w:rsidR="00176C73" w:rsidRPr="00662BA1">
        <w:rPr>
          <w:szCs w:val="28"/>
        </w:rPr>
        <w:t>Although the judge did not identify the matters he had in mind, no doubt he was adverting to the findings he had made earlier, for example:</w:t>
      </w:r>
    </w:p>
    <w:p w:rsidR="00176C73" w:rsidRPr="00662BA1" w:rsidRDefault="00176C73" w:rsidP="00FC3D5B">
      <w:pPr>
        <w:numPr>
          <w:ilvl w:val="0"/>
          <w:numId w:val="10"/>
        </w:numPr>
        <w:tabs>
          <w:tab w:val="clear" w:pos="4320"/>
          <w:tab w:val="clear" w:pos="9072"/>
        </w:tabs>
        <w:snapToGrid/>
        <w:spacing w:before="240" w:line="360" w:lineRule="auto"/>
        <w:ind w:left="1440" w:hanging="720"/>
        <w:jc w:val="both"/>
        <w:rPr>
          <w:szCs w:val="28"/>
        </w:rPr>
      </w:pPr>
      <w:r w:rsidRPr="00662BA1">
        <w:rPr>
          <w:szCs w:val="28"/>
        </w:rPr>
        <w:t xml:space="preserve">the significant deposits and withdrawals of cash, in the context of his findings that neither the applicant nor </w:t>
      </w:r>
      <w:r w:rsidR="00DD4DFB" w:rsidRPr="00662BA1">
        <w:rPr>
          <w:szCs w:val="28"/>
        </w:rPr>
        <w:t>his father was involved in any “</w:t>
      </w:r>
      <w:r w:rsidRPr="00662BA1">
        <w:rPr>
          <w:szCs w:val="28"/>
        </w:rPr>
        <w:t>cash generating business</w:t>
      </w:r>
      <w:r w:rsidR="00DD4DFB" w:rsidRPr="00662BA1">
        <w:rPr>
          <w:szCs w:val="28"/>
        </w:rPr>
        <w:t>” </w:t>
      </w:r>
      <w:r w:rsidRPr="00662BA1">
        <w:rPr>
          <w:rStyle w:val="FootnoteReference"/>
          <w:szCs w:val="28"/>
        </w:rPr>
        <w:footnoteReference w:id="94"/>
      </w:r>
      <w:r w:rsidRPr="00662BA1">
        <w:rPr>
          <w:szCs w:val="28"/>
        </w:rPr>
        <w:t>, that the applicant was lying when he said that the only reason that he used cash to deal with security companies was to settle margin calls urgently and that one of the reasons that the applicant had chosen to deal with matters in that way was that he knew that cash transactions were more difficult to trace;</w:t>
      </w:r>
      <w:r w:rsidR="00DD4DFB" w:rsidRPr="00662BA1">
        <w:rPr>
          <w:rStyle w:val="FootnoteReference"/>
          <w:szCs w:val="28"/>
        </w:rPr>
        <w:footnoteReference w:id="95"/>
      </w:r>
    </w:p>
    <w:p w:rsidR="00DD4DFB" w:rsidRPr="00662BA1" w:rsidRDefault="00176C73" w:rsidP="00FC3D5B">
      <w:pPr>
        <w:numPr>
          <w:ilvl w:val="0"/>
          <w:numId w:val="10"/>
        </w:numPr>
        <w:tabs>
          <w:tab w:val="clear" w:pos="4320"/>
          <w:tab w:val="clear" w:pos="9072"/>
        </w:tabs>
        <w:snapToGrid/>
        <w:spacing w:before="240" w:line="360" w:lineRule="auto"/>
        <w:ind w:left="1440" w:hanging="720"/>
        <w:jc w:val="both"/>
        <w:rPr>
          <w:szCs w:val="28"/>
        </w:rPr>
      </w:pPr>
      <w:r w:rsidRPr="00662BA1">
        <w:rPr>
          <w:szCs w:val="28"/>
        </w:rPr>
        <w:t>the $62.45 million deposited by the 10 SJM cash cheques, which were not the gambling winnings of the applicant;</w:t>
      </w:r>
      <w:r w:rsidRPr="00662BA1">
        <w:rPr>
          <w:rStyle w:val="FootnoteReference"/>
          <w:szCs w:val="28"/>
        </w:rPr>
        <w:footnoteReference w:id="96"/>
      </w:r>
    </w:p>
    <w:p w:rsidR="00176C73" w:rsidRPr="00662BA1" w:rsidRDefault="00176C73" w:rsidP="00FC3D5B">
      <w:pPr>
        <w:numPr>
          <w:ilvl w:val="0"/>
          <w:numId w:val="10"/>
        </w:numPr>
        <w:tabs>
          <w:tab w:val="clear" w:pos="4320"/>
          <w:tab w:val="clear" w:pos="9072"/>
        </w:tabs>
        <w:snapToGrid/>
        <w:spacing w:before="240" w:line="360" w:lineRule="auto"/>
        <w:ind w:left="1440" w:hanging="720"/>
        <w:jc w:val="both"/>
        <w:rPr>
          <w:szCs w:val="28"/>
        </w:rPr>
      </w:pPr>
      <w:r w:rsidRPr="00662BA1">
        <w:rPr>
          <w:szCs w:val="28"/>
        </w:rPr>
        <w:t>the unexplained deposit of cheques drawn on the accounts of third parties; for example, in the context of</w:t>
      </w:r>
      <w:r w:rsidR="00701E7F">
        <w:rPr>
          <w:szCs w:val="28"/>
        </w:rPr>
        <w:t xml:space="preserve"> his rejection of the applicant’</w:t>
      </w:r>
      <w:r w:rsidRPr="00662BA1">
        <w:rPr>
          <w:szCs w:val="28"/>
        </w:rPr>
        <w:t>s testimony that multiple payments made by third parties were repayments of investments in Neptune Club and Massive Resources;</w:t>
      </w:r>
      <w:r w:rsidRPr="00662BA1">
        <w:rPr>
          <w:rStyle w:val="FootnoteReference"/>
          <w:szCs w:val="28"/>
        </w:rPr>
        <w:footnoteReference w:id="97"/>
      </w:r>
      <w:r w:rsidR="00DD4DFB" w:rsidRPr="00662BA1">
        <w:rPr>
          <w:szCs w:val="28"/>
        </w:rPr>
        <w:t xml:space="preserve"> </w:t>
      </w:r>
      <w:r w:rsidRPr="00662BA1">
        <w:rPr>
          <w:szCs w:val="28"/>
        </w:rPr>
        <w:t>also, the deposit of $37,529,524 and $10,459,048 from</w:t>
      </w:r>
      <w:r w:rsidR="00DD4DFB" w:rsidRPr="00662BA1">
        <w:rPr>
          <w:szCs w:val="28"/>
        </w:rPr>
        <w:t xml:space="preserve"> Hooray Securities into Account </w:t>
      </w:r>
      <w:r w:rsidR="00701E7F">
        <w:rPr>
          <w:szCs w:val="28"/>
        </w:rPr>
        <w:t> </w:t>
      </w:r>
      <w:r w:rsidR="00EA3150">
        <w:rPr>
          <w:szCs w:val="28"/>
        </w:rPr>
        <w:t> </w:t>
      </w:r>
      <w:r w:rsidR="00DD4DFB" w:rsidRPr="00662BA1">
        <w:rPr>
          <w:szCs w:val="28"/>
        </w:rPr>
        <w:t>A and Account</w:t>
      </w:r>
      <w:r w:rsidR="00EA3150">
        <w:rPr>
          <w:szCs w:val="28"/>
        </w:rPr>
        <w:t>   </w:t>
      </w:r>
      <w:r w:rsidRPr="00662BA1">
        <w:rPr>
          <w:szCs w:val="28"/>
        </w:rPr>
        <w:t>E in the context of his determination that the applicant was lying about the true</w:t>
      </w:r>
      <w:r w:rsidR="00DD4DFB" w:rsidRPr="00662BA1">
        <w:rPr>
          <w:szCs w:val="28"/>
        </w:rPr>
        <w:t xml:space="preserve"> nature of his dealings with Ms </w:t>
      </w:r>
      <w:r w:rsidRPr="00662BA1">
        <w:rPr>
          <w:szCs w:val="28"/>
        </w:rPr>
        <w:t xml:space="preserve">Yu and the circumstances surrounding the sale of the Gold </w:t>
      </w:r>
      <w:proofErr w:type="spellStart"/>
      <w:r w:rsidRPr="00662BA1">
        <w:rPr>
          <w:szCs w:val="28"/>
        </w:rPr>
        <w:t>Wo</w:t>
      </w:r>
      <w:proofErr w:type="spellEnd"/>
      <w:r w:rsidRPr="00662BA1">
        <w:rPr>
          <w:szCs w:val="28"/>
        </w:rPr>
        <w:t xml:space="preserve"> shares</w:t>
      </w:r>
      <w:r w:rsidR="00DD4DFB" w:rsidRPr="00662BA1">
        <w:rPr>
          <w:szCs w:val="28"/>
        </w:rPr>
        <w:t>.</w:t>
      </w:r>
      <w:r w:rsidRPr="00662BA1">
        <w:rPr>
          <w:rStyle w:val="FootnoteReference"/>
          <w:szCs w:val="28"/>
        </w:rPr>
        <w:footnoteReference w:id="98"/>
      </w:r>
    </w:p>
    <w:p w:rsidR="00176C73" w:rsidRPr="00662BA1" w:rsidRDefault="00052537" w:rsidP="00DD4DFB">
      <w:pPr>
        <w:tabs>
          <w:tab w:val="clear" w:pos="4320"/>
          <w:tab w:val="clear" w:pos="9072"/>
        </w:tabs>
        <w:snapToGrid/>
        <w:spacing w:before="360" w:line="360" w:lineRule="auto"/>
        <w:jc w:val="both"/>
        <w:rPr>
          <w:szCs w:val="28"/>
        </w:rPr>
      </w:pPr>
      <w:r w:rsidRPr="00662BA1">
        <w:rPr>
          <w:szCs w:val="28"/>
        </w:rPr>
        <w:fldChar w:fldCharType="begin"/>
      </w:r>
      <w:r w:rsidR="00DD4DFB" w:rsidRPr="00662BA1">
        <w:rPr>
          <w:szCs w:val="28"/>
        </w:rPr>
        <w:instrText xml:space="preserve"> AUTONUMOUT  </w:instrText>
      </w:r>
      <w:r w:rsidRPr="00662BA1">
        <w:rPr>
          <w:szCs w:val="28"/>
        </w:rPr>
        <w:fldChar w:fldCharType="end"/>
      </w:r>
      <w:r w:rsidR="00DD4DFB" w:rsidRPr="00662BA1">
        <w:rPr>
          <w:szCs w:val="28"/>
        </w:rPr>
        <w:tab/>
      </w:r>
      <w:r w:rsidR="00176C73" w:rsidRPr="00662BA1">
        <w:rPr>
          <w:szCs w:val="28"/>
        </w:rPr>
        <w:t>In determining his verdict in respect of Charge 1</w:t>
      </w:r>
      <w:r w:rsidR="000D4EAC">
        <w:rPr>
          <w:szCs w:val="28"/>
        </w:rPr>
        <w:t>,</w:t>
      </w:r>
      <w:r w:rsidR="00176C73" w:rsidRPr="00662BA1">
        <w:rPr>
          <w:szCs w:val="28"/>
        </w:rPr>
        <w:t xml:space="preserve"> the judge adverted to the fact of his earlier findings and, drawing those findings together, said:</w:t>
      </w:r>
      <w:r w:rsidR="00176C73" w:rsidRPr="00662BA1">
        <w:rPr>
          <w:rStyle w:val="FootnoteReference"/>
          <w:szCs w:val="28"/>
        </w:rPr>
        <w:footnoteReference w:id="99"/>
      </w:r>
    </w:p>
    <w:p w:rsidR="00DD4DFB" w:rsidRPr="00662BA1" w:rsidRDefault="00DD4DFB" w:rsidP="00DD4DFB">
      <w:pPr>
        <w:pStyle w:val="ListParagraph"/>
        <w:tabs>
          <w:tab w:val="clear" w:pos="1440"/>
          <w:tab w:val="clear" w:pos="4320"/>
          <w:tab w:val="clear" w:pos="9072"/>
          <w:tab w:val="left" w:pos="2074"/>
        </w:tabs>
        <w:snapToGrid/>
        <w:spacing w:before="240"/>
        <w:ind w:left="1454" w:right="835" w:hanging="187"/>
        <w:jc w:val="both"/>
        <w:rPr>
          <w:sz w:val="24"/>
          <w:szCs w:val="24"/>
        </w:rPr>
      </w:pPr>
      <w:r w:rsidRPr="00662BA1">
        <w:rPr>
          <w:sz w:val="24"/>
          <w:szCs w:val="24"/>
        </w:rPr>
        <w:t>“</w:t>
      </w:r>
      <w:r w:rsidRPr="00662BA1">
        <w:rPr>
          <w:sz w:val="24"/>
          <w:szCs w:val="24"/>
        </w:rPr>
        <w:tab/>
      </w:r>
      <w:r w:rsidR="00176C73" w:rsidRPr="00662BA1">
        <w:rPr>
          <w:sz w:val="24"/>
          <w:szCs w:val="24"/>
        </w:rPr>
        <w:t xml:space="preserve">I find that the defendant was aware of all the transactions in relation to account A. </w:t>
      </w:r>
      <w:r w:rsidRPr="00662BA1">
        <w:rPr>
          <w:sz w:val="24"/>
          <w:szCs w:val="24"/>
        </w:rPr>
        <w:t xml:space="preserve"> </w:t>
      </w:r>
      <w:r w:rsidR="00176C73" w:rsidRPr="00662BA1">
        <w:rPr>
          <w:sz w:val="24"/>
          <w:szCs w:val="24"/>
        </w:rPr>
        <w:t>I find that the defendant himself knew that dealings in cash transactions would be more difficult to trace than those by way of checks.</w:t>
      </w:r>
      <w:r w:rsidRPr="00662BA1">
        <w:rPr>
          <w:sz w:val="24"/>
          <w:szCs w:val="24"/>
        </w:rPr>
        <w:t xml:space="preserve"> </w:t>
      </w:r>
      <w:r w:rsidR="00176C73" w:rsidRPr="00662BA1">
        <w:rPr>
          <w:sz w:val="24"/>
          <w:szCs w:val="24"/>
        </w:rPr>
        <w:t xml:space="preserve"> I find that there were no cash generating business that would generate the kind of cash that was deposited into account A. </w:t>
      </w:r>
      <w:r w:rsidRPr="00662BA1">
        <w:rPr>
          <w:sz w:val="24"/>
          <w:szCs w:val="24"/>
        </w:rPr>
        <w:t xml:space="preserve"> </w:t>
      </w:r>
      <w:r w:rsidR="00176C73" w:rsidRPr="00662BA1">
        <w:rPr>
          <w:sz w:val="24"/>
          <w:szCs w:val="24"/>
        </w:rPr>
        <w:t xml:space="preserve">I find that the overall almost identical amount of deposits and withdrawals in the account shows that the account had been used as a repository of funds. </w:t>
      </w:r>
      <w:r w:rsidRPr="00662BA1">
        <w:rPr>
          <w:sz w:val="24"/>
          <w:szCs w:val="24"/>
        </w:rPr>
        <w:t xml:space="preserve"> </w:t>
      </w:r>
      <w:r w:rsidR="00176C73" w:rsidRPr="00662BA1">
        <w:rPr>
          <w:sz w:val="24"/>
          <w:szCs w:val="24"/>
        </w:rPr>
        <w:t xml:space="preserve">I find that for the reasons already given above, the deposits from SJM were not the defendant’s gambling winnings. </w:t>
      </w:r>
      <w:r w:rsidRPr="00662BA1">
        <w:rPr>
          <w:sz w:val="24"/>
          <w:szCs w:val="24"/>
        </w:rPr>
        <w:t xml:space="preserve"> </w:t>
      </w:r>
      <w:r w:rsidR="00176C73" w:rsidRPr="00662BA1">
        <w:rPr>
          <w:sz w:val="24"/>
          <w:szCs w:val="24"/>
        </w:rPr>
        <w:t xml:space="preserve">I find that the dealings in the Gold </w:t>
      </w:r>
      <w:proofErr w:type="spellStart"/>
      <w:r w:rsidR="00176C73" w:rsidRPr="00662BA1">
        <w:rPr>
          <w:sz w:val="24"/>
          <w:szCs w:val="24"/>
        </w:rPr>
        <w:t>Wo</w:t>
      </w:r>
      <w:proofErr w:type="spellEnd"/>
      <w:r w:rsidR="00176C73" w:rsidRPr="00662BA1">
        <w:rPr>
          <w:sz w:val="24"/>
          <w:szCs w:val="24"/>
        </w:rPr>
        <w:t xml:space="preserve"> shares, for reasons given above was arranged so as to</w:t>
      </w:r>
      <w:r w:rsidRPr="00662BA1">
        <w:rPr>
          <w:sz w:val="24"/>
          <w:szCs w:val="24"/>
        </w:rPr>
        <w:t xml:space="preserve"> conceal the involvement of Ms. </w:t>
      </w:r>
      <w:r w:rsidR="00176C73" w:rsidRPr="00662BA1">
        <w:rPr>
          <w:sz w:val="24"/>
          <w:szCs w:val="24"/>
        </w:rPr>
        <w:t xml:space="preserve">Yu Xiao Mei. </w:t>
      </w:r>
      <w:r w:rsidRPr="00662BA1">
        <w:rPr>
          <w:sz w:val="24"/>
          <w:szCs w:val="24"/>
        </w:rPr>
        <w:t xml:space="preserve"> </w:t>
      </w:r>
      <w:r w:rsidR="00176C73" w:rsidRPr="00662BA1">
        <w:rPr>
          <w:sz w:val="24"/>
          <w:szCs w:val="24"/>
        </w:rPr>
        <w:t>These are all facts known to the d</w:t>
      </w:r>
      <w:r w:rsidRPr="00662BA1">
        <w:rPr>
          <w:sz w:val="24"/>
          <w:szCs w:val="24"/>
        </w:rPr>
        <w:t>efendant at the material times.”</w:t>
      </w:r>
    </w:p>
    <w:p w:rsidR="00DD4DFB" w:rsidRPr="00662BA1" w:rsidRDefault="00DD4DFB" w:rsidP="00DD4DFB">
      <w:pPr>
        <w:pStyle w:val="ListParagraph"/>
        <w:tabs>
          <w:tab w:val="clear" w:pos="1440"/>
          <w:tab w:val="clear" w:pos="4320"/>
          <w:tab w:val="clear" w:pos="9072"/>
          <w:tab w:val="left" w:pos="2074"/>
        </w:tabs>
        <w:snapToGrid/>
        <w:spacing w:line="80" w:lineRule="exact"/>
        <w:ind w:left="1454" w:right="835" w:hanging="187"/>
        <w:jc w:val="both"/>
        <w:rPr>
          <w:sz w:val="24"/>
          <w:szCs w:val="24"/>
        </w:rPr>
      </w:pPr>
    </w:p>
    <w:p w:rsidR="00176C73" w:rsidRPr="00662BA1" w:rsidRDefault="00176C73" w:rsidP="00DD4DFB">
      <w:pPr>
        <w:pStyle w:val="ListParagraph"/>
        <w:tabs>
          <w:tab w:val="clear" w:pos="1440"/>
          <w:tab w:val="clear" w:pos="4320"/>
          <w:tab w:val="clear" w:pos="9072"/>
          <w:tab w:val="left" w:pos="2074"/>
        </w:tabs>
        <w:snapToGrid/>
        <w:spacing w:line="80" w:lineRule="exact"/>
        <w:ind w:left="1454" w:right="835" w:hanging="187"/>
        <w:jc w:val="both"/>
        <w:rPr>
          <w:sz w:val="24"/>
          <w:szCs w:val="24"/>
        </w:rPr>
      </w:pPr>
    </w:p>
    <w:p w:rsidR="00707030" w:rsidRPr="00662BA1" w:rsidRDefault="00052537" w:rsidP="00707030">
      <w:pPr>
        <w:tabs>
          <w:tab w:val="clear" w:pos="4320"/>
          <w:tab w:val="clear" w:pos="9072"/>
        </w:tabs>
        <w:snapToGrid/>
        <w:spacing w:before="360" w:line="360" w:lineRule="auto"/>
        <w:jc w:val="both"/>
        <w:rPr>
          <w:szCs w:val="28"/>
        </w:rPr>
      </w:pPr>
      <w:r w:rsidRPr="00662BA1">
        <w:rPr>
          <w:szCs w:val="28"/>
        </w:rPr>
        <w:fldChar w:fldCharType="begin"/>
      </w:r>
      <w:r w:rsidR="00DD4DFB" w:rsidRPr="00662BA1">
        <w:rPr>
          <w:szCs w:val="28"/>
        </w:rPr>
        <w:instrText xml:space="preserve"> AUTONUMOUT  </w:instrText>
      </w:r>
      <w:r w:rsidRPr="00662BA1">
        <w:rPr>
          <w:szCs w:val="28"/>
        </w:rPr>
        <w:fldChar w:fldCharType="end"/>
      </w:r>
      <w:r w:rsidR="00DD4DFB" w:rsidRPr="00662BA1">
        <w:rPr>
          <w:szCs w:val="28"/>
        </w:rPr>
        <w:tab/>
      </w:r>
      <w:r w:rsidR="00176C73" w:rsidRPr="00662BA1">
        <w:rPr>
          <w:szCs w:val="28"/>
        </w:rPr>
        <w:t xml:space="preserve">The judge’s finding that Account A had been used as a repository of funds stands apart from his other findings. </w:t>
      </w:r>
      <w:r w:rsidR="00707030" w:rsidRPr="00662BA1">
        <w:rPr>
          <w:szCs w:val="28"/>
        </w:rPr>
        <w:t xml:space="preserve"> </w:t>
      </w:r>
      <w:r w:rsidR="00176C73" w:rsidRPr="00662BA1">
        <w:rPr>
          <w:szCs w:val="28"/>
        </w:rPr>
        <w:t>In making the former finding the judge had regard to the p</w:t>
      </w:r>
      <w:r w:rsidR="00707030" w:rsidRPr="00662BA1">
        <w:rPr>
          <w:szCs w:val="28"/>
        </w:rPr>
        <w:t>osition “</w:t>
      </w:r>
      <w:r w:rsidR="00176C73" w:rsidRPr="00662BA1">
        <w:rPr>
          <w:szCs w:val="28"/>
        </w:rPr>
        <w:t>overall</w:t>
      </w:r>
      <w:r w:rsidR="00707030" w:rsidRPr="00662BA1">
        <w:rPr>
          <w:szCs w:val="28"/>
        </w:rPr>
        <w:t>”</w:t>
      </w:r>
      <w:r w:rsidR="00176C73" w:rsidRPr="00662BA1">
        <w:rPr>
          <w:szCs w:val="28"/>
        </w:rPr>
        <w:t xml:space="preserve">, whereas in the other determinations clearly he had regard to the transactions in the timeframe in which they had occurred. </w:t>
      </w:r>
      <w:r w:rsidR="00707030" w:rsidRPr="00662BA1">
        <w:rPr>
          <w:szCs w:val="28"/>
        </w:rPr>
        <w:t xml:space="preserve"> </w:t>
      </w:r>
      <w:r w:rsidR="00176C73" w:rsidRPr="00662BA1">
        <w:rPr>
          <w:szCs w:val="28"/>
        </w:rPr>
        <w:t>As noted ear</w:t>
      </w:r>
      <w:r w:rsidR="00707030" w:rsidRPr="00662BA1">
        <w:rPr>
          <w:szCs w:val="28"/>
        </w:rPr>
        <w:t>lier, he said so specifically, “</w:t>
      </w:r>
      <w:r w:rsidR="00176C73" w:rsidRPr="00662BA1">
        <w:rPr>
          <w:szCs w:val="28"/>
        </w:rPr>
        <w:t>the material time to consider was when the money was being deposited int</w:t>
      </w:r>
      <w:r w:rsidR="00707030" w:rsidRPr="00662BA1">
        <w:rPr>
          <w:szCs w:val="28"/>
        </w:rPr>
        <w:t>o the defendant’s bank account.” </w:t>
      </w:r>
      <w:r w:rsidR="00176C73" w:rsidRPr="00662BA1">
        <w:rPr>
          <w:rStyle w:val="FootnoteReference"/>
          <w:szCs w:val="28"/>
        </w:rPr>
        <w:footnoteReference w:id="100"/>
      </w:r>
    </w:p>
    <w:p w:rsidR="00176C73" w:rsidRPr="00662BA1" w:rsidRDefault="00052537" w:rsidP="00707030">
      <w:pPr>
        <w:tabs>
          <w:tab w:val="clear" w:pos="4320"/>
          <w:tab w:val="clear" w:pos="9072"/>
        </w:tabs>
        <w:snapToGrid/>
        <w:spacing w:before="360" w:line="360" w:lineRule="auto"/>
        <w:jc w:val="both"/>
        <w:rPr>
          <w:szCs w:val="28"/>
        </w:rPr>
      </w:pPr>
      <w:r w:rsidRPr="00662BA1">
        <w:rPr>
          <w:szCs w:val="28"/>
        </w:rPr>
        <w:fldChar w:fldCharType="begin"/>
      </w:r>
      <w:r w:rsidR="00707030" w:rsidRPr="00662BA1">
        <w:rPr>
          <w:szCs w:val="28"/>
        </w:rPr>
        <w:instrText xml:space="preserve"> AUTONUMOUT  </w:instrText>
      </w:r>
      <w:r w:rsidRPr="00662BA1">
        <w:rPr>
          <w:szCs w:val="28"/>
        </w:rPr>
        <w:fldChar w:fldCharType="end"/>
      </w:r>
      <w:r w:rsidR="00707030" w:rsidRPr="00662BA1">
        <w:rPr>
          <w:szCs w:val="28"/>
        </w:rPr>
        <w:tab/>
      </w:r>
      <w:r w:rsidR="00176C73" w:rsidRPr="00662BA1">
        <w:rPr>
          <w:szCs w:val="28"/>
        </w:rPr>
        <w:t>Having enumerated his findings of fact relevant to h</w:t>
      </w:r>
      <w:r w:rsidR="00707030" w:rsidRPr="00662BA1">
        <w:rPr>
          <w:szCs w:val="28"/>
        </w:rPr>
        <w:t>is verdict in respect of Charge </w:t>
      </w:r>
      <w:r w:rsidR="00176C73" w:rsidRPr="00662BA1">
        <w:rPr>
          <w:szCs w:val="28"/>
        </w:rPr>
        <w:t>1, the judge went on to consider whether or not the applicant had reasonable grounds to believe that the monies were the proceeds of an indictable offence:</w:t>
      </w:r>
      <w:r w:rsidR="00176C73" w:rsidRPr="00662BA1">
        <w:rPr>
          <w:rStyle w:val="FootnoteReference"/>
          <w:szCs w:val="28"/>
        </w:rPr>
        <w:footnoteReference w:id="101"/>
      </w:r>
    </w:p>
    <w:p w:rsidR="00707030" w:rsidRPr="00662BA1" w:rsidRDefault="00707030" w:rsidP="00707030">
      <w:pPr>
        <w:pStyle w:val="ListParagraph"/>
        <w:tabs>
          <w:tab w:val="clear" w:pos="1440"/>
          <w:tab w:val="clear" w:pos="4320"/>
          <w:tab w:val="clear" w:pos="9072"/>
          <w:tab w:val="left" w:pos="2074"/>
        </w:tabs>
        <w:snapToGrid/>
        <w:spacing w:before="240"/>
        <w:ind w:left="1454" w:right="835" w:hanging="187"/>
        <w:contextualSpacing w:val="0"/>
        <w:jc w:val="both"/>
        <w:rPr>
          <w:sz w:val="24"/>
          <w:szCs w:val="24"/>
        </w:rPr>
      </w:pPr>
      <w:r w:rsidRPr="00662BA1">
        <w:rPr>
          <w:sz w:val="24"/>
          <w:szCs w:val="24"/>
        </w:rPr>
        <w:t>“</w:t>
      </w:r>
      <w:r w:rsidRPr="00662BA1">
        <w:rPr>
          <w:sz w:val="24"/>
          <w:szCs w:val="24"/>
        </w:rPr>
        <w:tab/>
      </w:r>
      <w:r w:rsidR="00176C73" w:rsidRPr="00662BA1">
        <w:rPr>
          <w:sz w:val="24"/>
          <w:szCs w:val="24"/>
        </w:rPr>
        <w:t xml:space="preserve">I find that a right thinking member of the community when looking at the movement of funds in account A and </w:t>
      </w:r>
      <w:r w:rsidR="00176C73" w:rsidRPr="00662BA1">
        <w:rPr>
          <w:i/>
          <w:sz w:val="24"/>
          <w:szCs w:val="24"/>
        </w:rPr>
        <w:t xml:space="preserve">all the surrounding circumstances mentioned above </w:t>
      </w:r>
      <w:r w:rsidR="00176C73" w:rsidRPr="00662BA1">
        <w:rPr>
          <w:sz w:val="24"/>
          <w:szCs w:val="24"/>
        </w:rPr>
        <w:t>would have reasonable grounds to believe that the money being dealt with through the account represented wholly or in part, directly or indirectly proceeds of an indictable offence.</w:t>
      </w:r>
      <w:r w:rsidRPr="00662BA1">
        <w:rPr>
          <w:sz w:val="24"/>
          <w:szCs w:val="24"/>
        </w:rPr>
        <w:t xml:space="preserve"> </w:t>
      </w:r>
      <w:r w:rsidR="00176C73" w:rsidRPr="00662BA1">
        <w:rPr>
          <w:sz w:val="24"/>
          <w:szCs w:val="24"/>
        </w:rPr>
        <w:t xml:space="preserve"> I therefore find that the defendant had reasonable grounds also to so believe and I convict him of charge 1 accordingly.</w:t>
      </w:r>
      <w:r w:rsidRPr="00662BA1">
        <w:rPr>
          <w:sz w:val="24"/>
          <w:szCs w:val="24"/>
        </w:rPr>
        <w:t xml:space="preserve">” </w:t>
      </w:r>
      <w:r w:rsidR="00176C73" w:rsidRPr="00662BA1">
        <w:rPr>
          <w:sz w:val="24"/>
          <w:szCs w:val="24"/>
        </w:rPr>
        <w:t xml:space="preserve"> [Italics added.]</w:t>
      </w:r>
    </w:p>
    <w:p w:rsidR="00707030" w:rsidRPr="00662BA1" w:rsidRDefault="00707030" w:rsidP="00707030">
      <w:pPr>
        <w:pStyle w:val="ListParagraph"/>
        <w:tabs>
          <w:tab w:val="clear" w:pos="1440"/>
          <w:tab w:val="clear" w:pos="4320"/>
          <w:tab w:val="clear" w:pos="9072"/>
          <w:tab w:val="left" w:pos="2074"/>
        </w:tabs>
        <w:snapToGrid/>
        <w:spacing w:line="80" w:lineRule="exact"/>
        <w:ind w:left="1454" w:right="835" w:hanging="187"/>
        <w:contextualSpacing w:val="0"/>
        <w:jc w:val="both"/>
        <w:rPr>
          <w:sz w:val="24"/>
          <w:szCs w:val="24"/>
        </w:rPr>
      </w:pPr>
    </w:p>
    <w:p w:rsidR="00707030" w:rsidRPr="00662BA1" w:rsidRDefault="00707030" w:rsidP="00707030">
      <w:pPr>
        <w:pStyle w:val="ListParagraph"/>
        <w:tabs>
          <w:tab w:val="clear" w:pos="1440"/>
          <w:tab w:val="clear" w:pos="4320"/>
          <w:tab w:val="clear" w:pos="9072"/>
          <w:tab w:val="left" w:pos="2074"/>
        </w:tabs>
        <w:snapToGrid/>
        <w:spacing w:line="80" w:lineRule="exact"/>
        <w:ind w:left="1454" w:right="835" w:hanging="187"/>
        <w:contextualSpacing w:val="0"/>
        <w:jc w:val="both"/>
        <w:rPr>
          <w:sz w:val="24"/>
          <w:szCs w:val="24"/>
        </w:rPr>
      </w:pPr>
    </w:p>
    <w:p w:rsidR="00707030" w:rsidRPr="00662BA1" w:rsidRDefault="00052537" w:rsidP="00707030">
      <w:pPr>
        <w:pStyle w:val="ListParagraph"/>
        <w:tabs>
          <w:tab w:val="clear" w:pos="4320"/>
          <w:tab w:val="clear" w:pos="9072"/>
        </w:tabs>
        <w:snapToGrid/>
        <w:spacing w:before="360" w:line="360" w:lineRule="auto"/>
        <w:ind w:left="0"/>
        <w:contextualSpacing w:val="0"/>
        <w:jc w:val="both"/>
        <w:rPr>
          <w:szCs w:val="28"/>
        </w:rPr>
      </w:pPr>
      <w:r w:rsidRPr="00662BA1">
        <w:rPr>
          <w:szCs w:val="28"/>
        </w:rPr>
        <w:fldChar w:fldCharType="begin"/>
      </w:r>
      <w:r w:rsidR="00707030" w:rsidRPr="00662BA1">
        <w:rPr>
          <w:szCs w:val="28"/>
        </w:rPr>
        <w:instrText xml:space="preserve"> AUTONUMOUT  </w:instrText>
      </w:r>
      <w:r w:rsidRPr="00662BA1">
        <w:rPr>
          <w:szCs w:val="28"/>
        </w:rPr>
        <w:fldChar w:fldCharType="end"/>
      </w:r>
      <w:r w:rsidR="00707030" w:rsidRPr="00662BA1">
        <w:rPr>
          <w:szCs w:val="28"/>
        </w:rPr>
        <w:tab/>
      </w:r>
      <w:r w:rsidR="00176C73" w:rsidRPr="00662BA1">
        <w:rPr>
          <w:szCs w:val="28"/>
        </w:rPr>
        <w:t xml:space="preserve">Consideration of the element of </w:t>
      </w:r>
      <w:proofErr w:type="spellStart"/>
      <w:r w:rsidR="00176C73" w:rsidRPr="00662BA1">
        <w:rPr>
          <w:i/>
          <w:szCs w:val="28"/>
        </w:rPr>
        <w:t>mens</w:t>
      </w:r>
      <w:proofErr w:type="spellEnd"/>
      <w:r w:rsidR="00176C73" w:rsidRPr="00662BA1">
        <w:rPr>
          <w:i/>
          <w:szCs w:val="28"/>
        </w:rPr>
        <w:t xml:space="preserve"> </w:t>
      </w:r>
      <w:proofErr w:type="spellStart"/>
      <w:r w:rsidR="00176C73" w:rsidRPr="00662BA1">
        <w:rPr>
          <w:i/>
          <w:szCs w:val="28"/>
        </w:rPr>
        <w:t>rea</w:t>
      </w:r>
      <w:proofErr w:type="spellEnd"/>
      <w:r w:rsidR="00176C73" w:rsidRPr="00662BA1">
        <w:rPr>
          <w:szCs w:val="28"/>
        </w:rPr>
        <w:t xml:space="preserve"> required that it be done in t</w:t>
      </w:r>
      <w:r w:rsidR="00707030" w:rsidRPr="00662BA1">
        <w:rPr>
          <w:szCs w:val="28"/>
        </w:rPr>
        <w:t>he timeframe of the transaction</w:t>
      </w:r>
      <w:r w:rsidR="00176C73" w:rsidRPr="00662BA1">
        <w:rPr>
          <w:szCs w:val="28"/>
        </w:rPr>
        <w:t>(s), not retrospectively and compendiously.</w:t>
      </w:r>
      <w:r w:rsidR="00707030" w:rsidRPr="00662BA1">
        <w:rPr>
          <w:szCs w:val="28"/>
        </w:rPr>
        <w:t xml:space="preserve"> </w:t>
      </w:r>
      <w:r w:rsidR="00176C73" w:rsidRPr="00662BA1">
        <w:rPr>
          <w:szCs w:val="28"/>
        </w:rPr>
        <w:t xml:space="preserve"> It follows that in making that determination the judge ought not to have had regard to his finding that the account was used as a repository for funds, given that findin</w:t>
      </w:r>
      <w:r w:rsidR="00707030" w:rsidRPr="00662BA1">
        <w:rPr>
          <w:szCs w:val="28"/>
        </w:rPr>
        <w:t>g was based on a retrospective “overall”</w:t>
      </w:r>
      <w:r w:rsidR="00176C73" w:rsidRPr="00662BA1">
        <w:rPr>
          <w:szCs w:val="28"/>
        </w:rPr>
        <w:t xml:space="preserve"> view of the opening and closing balances in each of the accounts. </w:t>
      </w:r>
    </w:p>
    <w:p w:rsidR="00707030" w:rsidRPr="00662BA1" w:rsidRDefault="00052537" w:rsidP="00707030">
      <w:pPr>
        <w:pStyle w:val="ListParagraph"/>
        <w:tabs>
          <w:tab w:val="clear" w:pos="4320"/>
          <w:tab w:val="clear" w:pos="9072"/>
        </w:tabs>
        <w:snapToGrid/>
        <w:spacing w:before="360" w:line="360" w:lineRule="auto"/>
        <w:ind w:left="0"/>
        <w:contextualSpacing w:val="0"/>
        <w:jc w:val="both"/>
        <w:rPr>
          <w:szCs w:val="28"/>
        </w:rPr>
      </w:pPr>
      <w:r w:rsidRPr="00662BA1">
        <w:rPr>
          <w:szCs w:val="28"/>
        </w:rPr>
        <w:fldChar w:fldCharType="begin"/>
      </w:r>
      <w:r w:rsidR="00707030" w:rsidRPr="00662BA1">
        <w:rPr>
          <w:szCs w:val="28"/>
        </w:rPr>
        <w:instrText xml:space="preserve"> AUTONUMOUT  </w:instrText>
      </w:r>
      <w:r w:rsidRPr="00662BA1">
        <w:rPr>
          <w:szCs w:val="28"/>
        </w:rPr>
        <w:fldChar w:fldCharType="end"/>
      </w:r>
      <w:r w:rsidR="00707030" w:rsidRPr="00662BA1">
        <w:rPr>
          <w:szCs w:val="28"/>
        </w:rPr>
        <w:tab/>
      </w:r>
      <w:r w:rsidR="00176C73" w:rsidRPr="00662BA1">
        <w:rPr>
          <w:szCs w:val="28"/>
        </w:rPr>
        <w:t xml:space="preserve">As noted earlier, the judge made the same finding in respect of each of the other four charges, namely that a consideration of the overall deposits and withdrawals in the respective accounts led to his determination that they had each been used as a repository for funds in respect of each of the other four charges. </w:t>
      </w:r>
      <w:r w:rsidR="00707030" w:rsidRPr="00662BA1">
        <w:rPr>
          <w:szCs w:val="28"/>
        </w:rPr>
        <w:t xml:space="preserve"> </w:t>
      </w:r>
      <w:r w:rsidR="00176C73" w:rsidRPr="00662BA1">
        <w:rPr>
          <w:szCs w:val="28"/>
        </w:rPr>
        <w:t>Those findings, being made retrospectively and compendiously, not in the timeframe of the particular act of dealing arising from the identified deposits, were not relevant to</w:t>
      </w:r>
      <w:r w:rsidR="00707030" w:rsidRPr="00662BA1">
        <w:rPr>
          <w:szCs w:val="28"/>
        </w:rPr>
        <w:t xml:space="preserve"> </w:t>
      </w:r>
      <w:r w:rsidR="000D4EAC">
        <w:rPr>
          <w:szCs w:val="28"/>
        </w:rPr>
        <w:t xml:space="preserve">a </w:t>
      </w:r>
      <w:r w:rsidR="00707030" w:rsidRPr="00662BA1">
        <w:rPr>
          <w:szCs w:val="28"/>
        </w:rPr>
        <w:t>consideration of the applicant’</w:t>
      </w:r>
      <w:r w:rsidR="00176C73" w:rsidRPr="00662BA1">
        <w:rPr>
          <w:szCs w:val="28"/>
        </w:rPr>
        <w:t xml:space="preserve">s </w:t>
      </w:r>
      <w:proofErr w:type="spellStart"/>
      <w:r w:rsidR="00176C73" w:rsidRPr="00662BA1">
        <w:rPr>
          <w:i/>
          <w:szCs w:val="28"/>
        </w:rPr>
        <w:t>mens</w:t>
      </w:r>
      <w:proofErr w:type="spellEnd"/>
      <w:r w:rsidR="00176C73" w:rsidRPr="00662BA1">
        <w:rPr>
          <w:i/>
          <w:szCs w:val="28"/>
        </w:rPr>
        <w:t xml:space="preserve"> </w:t>
      </w:r>
      <w:proofErr w:type="spellStart"/>
      <w:r w:rsidR="00176C73" w:rsidRPr="00662BA1">
        <w:rPr>
          <w:i/>
          <w:szCs w:val="28"/>
        </w:rPr>
        <w:t>rea</w:t>
      </w:r>
      <w:proofErr w:type="spellEnd"/>
      <w:r w:rsidR="00176C73" w:rsidRPr="00662BA1">
        <w:rPr>
          <w:szCs w:val="28"/>
        </w:rPr>
        <w:t xml:space="preserve"> at the time of his dealing with particular monies. </w:t>
      </w:r>
      <w:r w:rsidR="00707030" w:rsidRPr="00662BA1">
        <w:rPr>
          <w:szCs w:val="28"/>
        </w:rPr>
        <w:t xml:space="preserve"> </w:t>
      </w:r>
      <w:r w:rsidR="00176C73" w:rsidRPr="00662BA1">
        <w:rPr>
          <w:szCs w:val="28"/>
        </w:rPr>
        <w:t>S</w:t>
      </w:r>
      <w:r w:rsidR="00707030" w:rsidRPr="00662BA1">
        <w:rPr>
          <w:szCs w:val="28"/>
        </w:rPr>
        <w:t>o, the judge’</w:t>
      </w:r>
      <w:r w:rsidR="00176C73" w:rsidRPr="00662BA1">
        <w:rPr>
          <w:szCs w:val="28"/>
        </w:rPr>
        <w:t xml:space="preserve">s reliance on his finding, based on the fact of similar opening and closing balances, that each of the accounts was used as a repository of funds in his consideration of </w:t>
      </w:r>
      <w:proofErr w:type="spellStart"/>
      <w:r w:rsidR="00176C73" w:rsidRPr="00662BA1">
        <w:rPr>
          <w:i/>
          <w:szCs w:val="28"/>
        </w:rPr>
        <w:t>mens</w:t>
      </w:r>
      <w:proofErr w:type="spellEnd"/>
      <w:r w:rsidR="00176C73" w:rsidRPr="00662BA1">
        <w:rPr>
          <w:i/>
          <w:szCs w:val="28"/>
        </w:rPr>
        <w:t xml:space="preserve"> </w:t>
      </w:r>
      <w:proofErr w:type="spellStart"/>
      <w:r w:rsidR="00176C73" w:rsidRPr="00662BA1">
        <w:rPr>
          <w:i/>
          <w:szCs w:val="28"/>
        </w:rPr>
        <w:t>rea</w:t>
      </w:r>
      <w:proofErr w:type="spellEnd"/>
      <w:r w:rsidR="00176C73" w:rsidRPr="00662BA1">
        <w:rPr>
          <w:szCs w:val="28"/>
        </w:rPr>
        <w:t xml:space="preserve"> was an error. </w:t>
      </w:r>
    </w:p>
    <w:p w:rsidR="00701E7F" w:rsidRDefault="00052537" w:rsidP="00C35916">
      <w:pPr>
        <w:pStyle w:val="ListParagraph"/>
        <w:tabs>
          <w:tab w:val="clear" w:pos="4320"/>
          <w:tab w:val="clear" w:pos="9072"/>
        </w:tabs>
        <w:snapToGrid/>
        <w:spacing w:before="360" w:line="360" w:lineRule="auto"/>
        <w:ind w:left="0"/>
        <w:contextualSpacing w:val="0"/>
        <w:jc w:val="both"/>
        <w:rPr>
          <w:szCs w:val="28"/>
        </w:rPr>
      </w:pPr>
      <w:r w:rsidRPr="00662BA1">
        <w:rPr>
          <w:szCs w:val="28"/>
        </w:rPr>
        <w:fldChar w:fldCharType="begin"/>
      </w:r>
      <w:r w:rsidR="00707030" w:rsidRPr="00662BA1">
        <w:rPr>
          <w:szCs w:val="28"/>
        </w:rPr>
        <w:instrText xml:space="preserve"> AUTONUMOUT  </w:instrText>
      </w:r>
      <w:r w:rsidRPr="00662BA1">
        <w:rPr>
          <w:szCs w:val="28"/>
        </w:rPr>
        <w:fldChar w:fldCharType="end"/>
      </w:r>
      <w:r w:rsidR="00707030" w:rsidRPr="00662BA1">
        <w:rPr>
          <w:szCs w:val="28"/>
        </w:rPr>
        <w:tab/>
      </w:r>
      <w:r w:rsidR="00176C73" w:rsidRPr="00662BA1">
        <w:rPr>
          <w:szCs w:val="28"/>
        </w:rPr>
        <w:t xml:space="preserve">Whilst the judge was in error in doing so, we are satisfied that in the context of his overall findings, in which he considered the issue of </w:t>
      </w:r>
      <w:proofErr w:type="spellStart"/>
      <w:r w:rsidR="00176C73" w:rsidRPr="00662BA1">
        <w:rPr>
          <w:i/>
          <w:szCs w:val="28"/>
        </w:rPr>
        <w:t>mens</w:t>
      </w:r>
      <w:proofErr w:type="spellEnd"/>
      <w:r w:rsidR="00176C73" w:rsidRPr="00662BA1">
        <w:rPr>
          <w:i/>
          <w:szCs w:val="28"/>
        </w:rPr>
        <w:t xml:space="preserve"> </w:t>
      </w:r>
      <w:proofErr w:type="spellStart"/>
      <w:r w:rsidR="00176C73" w:rsidRPr="00662BA1">
        <w:rPr>
          <w:i/>
          <w:szCs w:val="28"/>
        </w:rPr>
        <w:t>rea</w:t>
      </w:r>
      <w:proofErr w:type="spellEnd"/>
      <w:r w:rsidR="00176C73" w:rsidRPr="00662BA1">
        <w:rPr>
          <w:szCs w:val="28"/>
        </w:rPr>
        <w:t xml:space="preserve"> in the timeframe of the actual dealing in the monies, the error was not material.</w:t>
      </w:r>
    </w:p>
    <w:p w:rsidR="00707030" w:rsidRPr="00662BA1" w:rsidRDefault="00176C73" w:rsidP="00707030">
      <w:pPr>
        <w:pStyle w:val="ListParagraph"/>
        <w:tabs>
          <w:tab w:val="clear" w:pos="4320"/>
          <w:tab w:val="clear" w:pos="9072"/>
        </w:tabs>
        <w:snapToGrid/>
        <w:spacing w:before="360" w:line="360" w:lineRule="auto"/>
        <w:ind w:left="0"/>
        <w:contextualSpacing w:val="0"/>
        <w:jc w:val="both"/>
        <w:rPr>
          <w:i/>
          <w:szCs w:val="28"/>
        </w:rPr>
      </w:pPr>
      <w:r w:rsidRPr="00662BA1">
        <w:rPr>
          <w:i/>
          <w:szCs w:val="28"/>
        </w:rPr>
        <w:t>The reasonable grounds to believe test</w:t>
      </w:r>
    </w:p>
    <w:p w:rsidR="00176C73" w:rsidRPr="00662BA1" w:rsidRDefault="00052537" w:rsidP="00707030">
      <w:pPr>
        <w:pStyle w:val="ListParagraph"/>
        <w:tabs>
          <w:tab w:val="clear" w:pos="4320"/>
          <w:tab w:val="clear" w:pos="9072"/>
        </w:tabs>
        <w:snapToGrid/>
        <w:spacing w:before="360" w:line="360" w:lineRule="auto"/>
        <w:ind w:left="0"/>
        <w:contextualSpacing w:val="0"/>
        <w:jc w:val="both"/>
        <w:rPr>
          <w:szCs w:val="28"/>
        </w:rPr>
      </w:pPr>
      <w:r w:rsidRPr="00662BA1">
        <w:rPr>
          <w:szCs w:val="28"/>
        </w:rPr>
        <w:fldChar w:fldCharType="begin"/>
      </w:r>
      <w:r w:rsidR="00707030" w:rsidRPr="00662BA1">
        <w:rPr>
          <w:szCs w:val="28"/>
        </w:rPr>
        <w:instrText xml:space="preserve"> AUTONUMOUT  </w:instrText>
      </w:r>
      <w:r w:rsidRPr="00662BA1">
        <w:rPr>
          <w:szCs w:val="28"/>
        </w:rPr>
        <w:fldChar w:fldCharType="end"/>
      </w:r>
      <w:r w:rsidR="00707030" w:rsidRPr="00662BA1">
        <w:rPr>
          <w:szCs w:val="28"/>
        </w:rPr>
        <w:tab/>
      </w:r>
      <w:r w:rsidR="00176C73" w:rsidRPr="00662BA1">
        <w:rPr>
          <w:szCs w:val="28"/>
        </w:rPr>
        <w:t>Of the two-sta</w:t>
      </w:r>
      <w:r w:rsidR="00707030" w:rsidRPr="00662BA1">
        <w:rPr>
          <w:szCs w:val="28"/>
        </w:rPr>
        <w:t>ge test approach to the phrase “</w:t>
      </w:r>
      <w:r w:rsidR="00176C73" w:rsidRPr="00662BA1">
        <w:rPr>
          <w:szCs w:val="28"/>
        </w:rPr>
        <w:t>havin</w:t>
      </w:r>
      <w:r w:rsidR="00707030" w:rsidRPr="00662BA1">
        <w:rPr>
          <w:szCs w:val="28"/>
        </w:rPr>
        <w:t>g reasonable grounds to believe”</w:t>
      </w:r>
      <w:r w:rsidR="00176C73" w:rsidRPr="00662BA1">
        <w:rPr>
          <w:szCs w:val="28"/>
        </w:rPr>
        <w:t xml:space="preserve"> articulated in the judgments of the Court of Final Appeal in </w:t>
      </w:r>
      <w:r w:rsidR="00176C73" w:rsidRPr="00662BA1">
        <w:rPr>
          <w:i/>
          <w:szCs w:val="28"/>
        </w:rPr>
        <w:t>Pang Hung Fai</w:t>
      </w:r>
      <w:r w:rsidR="00176C73" w:rsidRPr="00662BA1">
        <w:rPr>
          <w:szCs w:val="28"/>
        </w:rPr>
        <w:t xml:space="preserve"> </w:t>
      </w:r>
      <w:r w:rsidR="00176C73" w:rsidRPr="00662BA1">
        <w:rPr>
          <w:i/>
          <w:szCs w:val="28"/>
        </w:rPr>
        <w:t>v</w:t>
      </w:r>
      <w:r w:rsidR="00176C73" w:rsidRPr="00662BA1">
        <w:rPr>
          <w:szCs w:val="28"/>
        </w:rPr>
        <w:t xml:space="preserve"> </w:t>
      </w:r>
      <w:r w:rsidR="00176C73" w:rsidRPr="00662BA1">
        <w:rPr>
          <w:i/>
          <w:szCs w:val="28"/>
        </w:rPr>
        <w:t xml:space="preserve">HKSAR, </w:t>
      </w:r>
      <w:proofErr w:type="spellStart"/>
      <w:r w:rsidR="00176C73" w:rsidRPr="00662BA1">
        <w:rPr>
          <w:szCs w:val="28"/>
        </w:rPr>
        <w:t>Spigelman</w:t>
      </w:r>
      <w:proofErr w:type="spellEnd"/>
      <w:r w:rsidR="00176C73" w:rsidRPr="00662BA1">
        <w:rPr>
          <w:szCs w:val="28"/>
        </w:rPr>
        <w:t xml:space="preserve"> NPJ said:</w:t>
      </w:r>
      <w:r w:rsidR="00176C73" w:rsidRPr="00662BA1">
        <w:rPr>
          <w:rStyle w:val="FootnoteReference"/>
          <w:szCs w:val="28"/>
        </w:rPr>
        <w:footnoteReference w:id="102"/>
      </w:r>
    </w:p>
    <w:p w:rsidR="00176C73" w:rsidRPr="00662BA1" w:rsidRDefault="00176C73" w:rsidP="00707030">
      <w:pPr>
        <w:pStyle w:val="Final"/>
        <w:tabs>
          <w:tab w:val="clear" w:pos="4320"/>
          <w:tab w:val="clear" w:pos="9072"/>
          <w:tab w:val="left" w:pos="2074"/>
        </w:tabs>
        <w:snapToGrid/>
        <w:spacing w:before="240" w:line="240" w:lineRule="auto"/>
        <w:ind w:left="1454" w:right="835" w:hanging="187"/>
        <w:jc w:val="both"/>
        <w:rPr>
          <w:sz w:val="24"/>
          <w:lang w:val="en-US"/>
        </w:rPr>
      </w:pPr>
      <w:r w:rsidRPr="00662BA1">
        <w:rPr>
          <w:sz w:val="24"/>
        </w:rPr>
        <w:t>“</w:t>
      </w:r>
      <w:r w:rsidRPr="00662BA1">
        <w:rPr>
          <w:sz w:val="24"/>
        </w:rPr>
        <w:tab/>
      </w:r>
      <w:r w:rsidRPr="00662BA1">
        <w:rPr>
          <w:sz w:val="24"/>
        </w:rPr>
        <w:tab/>
        <w:t xml:space="preserve">There are four aspects of the approach derived from </w:t>
      </w:r>
      <w:proofErr w:type="spellStart"/>
      <w:r w:rsidRPr="00662BA1">
        <w:rPr>
          <w:i/>
          <w:sz w:val="24"/>
        </w:rPr>
        <w:t>Shing</w:t>
      </w:r>
      <w:proofErr w:type="spellEnd"/>
      <w:r w:rsidRPr="00662BA1">
        <w:rPr>
          <w:i/>
          <w:sz w:val="24"/>
        </w:rPr>
        <w:t xml:space="preserve"> </w:t>
      </w:r>
      <w:proofErr w:type="spellStart"/>
      <w:r w:rsidRPr="00662BA1">
        <w:rPr>
          <w:i/>
          <w:sz w:val="24"/>
        </w:rPr>
        <w:t>Siu</w:t>
      </w:r>
      <w:proofErr w:type="spellEnd"/>
      <w:r w:rsidRPr="00662BA1">
        <w:rPr>
          <w:i/>
          <w:sz w:val="24"/>
        </w:rPr>
        <w:t xml:space="preserve"> Ming </w:t>
      </w:r>
      <w:r w:rsidRPr="00662BA1">
        <w:rPr>
          <w:sz w:val="24"/>
        </w:rPr>
        <w:t>which distract the decision maker -- whether a judge or jury -- from the terminology of the offence.</w:t>
      </w:r>
    </w:p>
    <w:p w:rsidR="00176C73" w:rsidRPr="00662BA1" w:rsidRDefault="00176C73" w:rsidP="00707030">
      <w:pPr>
        <w:pStyle w:val="Final"/>
        <w:tabs>
          <w:tab w:val="clear" w:pos="4320"/>
          <w:tab w:val="clear" w:pos="9072"/>
        </w:tabs>
        <w:snapToGrid/>
        <w:spacing w:before="240" w:line="240" w:lineRule="auto"/>
        <w:ind w:left="1454" w:right="835" w:hanging="14"/>
        <w:jc w:val="both"/>
        <w:rPr>
          <w:sz w:val="24"/>
          <w:lang w:val="en-US"/>
        </w:rPr>
      </w:pPr>
      <w:r w:rsidRPr="00662BA1">
        <w:rPr>
          <w:sz w:val="24"/>
        </w:rPr>
        <w:t>First, the test replaces the statutory word “grounds” with the word “facts”.  The latter term is narrower.  While all “facts” may be “grounds”, not all “grounds” are “facts”.  Accordingly, the range of relevant circumstances is restricted.</w:t>
      </w:r>
    </w:p>
    <w:p w:rsidR="00176C73" w:rsidRPr="00662BA1" w:rsidRDefault="00176C73" w:rsidP="003B6D02">
      <w:pPr>
        <w:pStyle w:val="Final"/>
        <w:snapToGrid/>
        <w:spacing w:before="240" w:line="240" w:lineRule="auto"/>
        <w:ind w:left="1454" w:right="835" w:hanging="14"/>
        <w:jc w:val="both"/>
        <w:rPr>
          <w:sz w:val="24"/>
        </w:rPr>
      </w:pPr>
      <w:r w:rsidRPr="00662BA1">
        <w:rPr>
          <w:sz w:val="24"/>
        </w:rPr>
        <w:t xml:space="preserve">Secondly, the introduction of a distinction between “objective” and “subjective” elements diverts attention away from the purpose of the statutory words to create the mental element of a criminal offence, as an alternative to a state of “knowledge”.  </w:t>
      </w:r>
    </w:p>
    <w:p w:rsidR="00AD305A" w:rsidRDefault="00176C73" w:rsidP="00AD305A">
      <w:pPr>
        <w:pStyle w:val="Final"/>
        <w:snapToGrid/>
        <w:spacing w:before="240" w:line="240" w:lineRule="auto"/>
        <w:ind w:left="1454" w:right="835" w:hanging="14"/>
        <w:jc w:val="both"/>
        <w:rPr>
          <w:sz w:val="24"/>
        </w:rPr>
      </w:pPr>
      <w:r w:rsidRPr="00662BA1">
        <w:rPr>
          <w:sz w:val="24"/>
        </w:rPr>
        <w:t xml:space="preserve">Thirdly, the personification of the “objective” element, in terms of a “reasonable person” or “right-thinking member of the community”, is a distinction that diverts attention away from the fact that it is the accused, rather than an abstract legal concept of a person, who must ‘have’ reasonable grounds for the requisite ‘belief’.  </w:t>
      </w:r>
    </w:p>
    <w:p w:rsidR="00830380" w:rsidRPr="00662BA1" w:rsidRDefault="00176C73" w:rsidP="00AD305A">
      <w:pPr>
        <w:pStyle w:val="Final"/>
        <w:tabs>
          <w:tab w:val="clear" w:pos="4320"/>
          <w:tab w:val="clear" w:pos="9072"/>
        </w:tabs>
        <w:snapToGrid/>
        <w:spacing w:before="240" w:line="240" w:lineRule="auto"/>
        <w:ind w:left="1454" w:right="835" w:hanging="14"/>
        <w:jc w:val="both"/>
        <w:rPr>
          <w:sz w:val="24"/>
        </w:rPr>
      </w:pPr>
      <w:r w:rsidRPr="00662BA1">
        <w:rPr>
          <w:sz w:val="24"/>
        </w:rPr>
        <w:t>Fourthly, the language of “first step” and “second step”, in whatever order, directs the decision maker – whether judge or jury – as to how s/he or they must think.  This is something which an appellate court should rarely do, if at all.  Furthermore, these “steps” combine the two distractions referred to in the second and third points.”</w:t>
      </w:r>
    </w:p>
    <w:p w:rsidR="00830380" w:rsidRPr="00662BA1" w:rsidRDefault="00830380" w:rsidP="00830380">
      <w:pPr>
        <w:pStyle w:val="Final"/>
        <w:tabs>
          <w:tab w:val="clear" w:pos="4320"/>
          <w:tab w:val="clear" w:pos="9072"/>
        </w:tabs>
        <w:snapToGrid/>
        <w:spacing w:line="80" w:lineRule="exact"/>
        <w:ind w:left="1454" w:right="835" w:hanging="187"/>
        <w:jc w:val="both"/>
        <w:rPr>
          <w:sz w:val="24"/>
        </w:rPr>
      </w:pPr>
    </w:p>
    <w:p w:rsidR="00176C73" w:rsidRPr="00662BA1" w:rsidRDefault="00052537" w:rsidP="00AF2364">
      <w:pPr>
        <w:pStyle w:val="Final"/>
        <w:tabs>
          <w:tab w:val="clear" w:pos="4320"/>
          <w:tab w:val="clear" w:pos="9072"/>
        </w:tabs>
        <w:snapToGrid/>
        <w:spacing w:before="360"/>
        <w:jc w:val="both"/>
        <w:rPr>
          <w:szCs w:val="28"/>
        </w:rPr>
      </w:pPr>
      <w:r w:rsidRPr="00662BA1">
        <w:fldChar w:fldCharType="begin"/>
      </w:r>
      <w:r w:rsidR="00830380" w:rsidRPr="00662BA1">
        <w:instrText xml:space="preserve"> AUTONUMOUT  </w:instrText>
      </w:r>
      <w:r w:rsidRPr="00662BA1">
        <w:fldChar w:fldCharType="end"/>
      </w:r>
      <w:r w:rsidR="00830380" w:rsidRPr="00662BA1">
        <w:tab/>
      </w:r>
      <w:r w:rsidR="00176C73" w:rsidRPr="00662BA1">
        <w:t xml:space="preserve">Of the proper construction of the phrase “having reasonable grounds to believe”, </w:t>
      </w:r>
      <w:proofErr w:type="spellStart"/>
      <w:r w:rsidR="00176C73" w:rsidRPr="00662BA1">
        <w:t>Spigelman</w:t>
      </w:r>
      <w:proofErr w:type="spellEnd"/>
      <w:r w:rsidR="00176C73" w:rsidRPr="00662BA1">
        <w:t xml:space="preserve"> NPJ observed,</w:t>
      </w:r>
      <w:r w:rsidR="00176C73" w:rsidRPr="00662BA1">
        <w:rPr>
          <w:sz w:val="24"/>
        </w:rPr>
        <w:t xml:space="preserve"> “</w:t>
      </w:r>
      <w:r w:rsidR="00176C73" w:rsidRPr="00662BA1">
        <w:rPr>
          <w:szCs w:val="28"/>
        </w:rPr>
        <w:t xml:space="preserve">This is not a complicated formulation. </w:t>
      </w:r>
      <w:r w:rsidR="00830380" w:rsidRPr="00662BA1">
        <w:rPr>
          <w:szCs w:val="28"/>
        </w:rPr>
        <w:t xml:space="preserve"> </w:t>
      </w:r>
      <w:r w:rsidR="00176C73" w:rsidRPr="00662BA1">
        <w:rPr>
          <w:szCs w:val="28"/>
        </w:rPr>
        <w:t>The words are readily understandable.”</w:t>
      </w:r>
      <w:r w:rsidR="00830380" w:rsidRPr="00662BA1">
        <w:rPr>
          <w:szCs w:val="28"/>
        </w:rPr>
        <w:t> </w:t>
      </w:r>
      <w:r w:rsidR="00176C73" w:rsidRPr="00662BA1">
        <w:rPr>
          <w:rStyle w:val="FootnoteReference"/>
          <w:szCs w:val="28"/>
        </w:rPr>
        <w:footnoteReference w:id="103"/>
      </w:r>
      <w:r w:rsidR="00830380" w:rsidRPr="00662BA1">
        <w:rPr>
          <w:szCs w:val="28"/>
        </w:rPr>
        <w:t xml:space="preserve">  Of the phrase “reasonable grounds” he said that it was, “</w:t>
      </w:r>
      <w:r w:rsidR="00176C73" w:rsidRPr="00662BA1">
        <w:rPr>
          <w:szCs w:val="28"/>
        </w:rPr>
        <w:t>perfectly understandable</w:t>
      </w:r>
      <w:r w:rsidR="00830380" w:rsidRPr="00662BA1">
        <w:rPr>
          <w:szCs w:val="28"/>
        </w:rPr>
        <w:t>”</w:t>
      </w:r>
      <w:r w:rsidR="00176C73" w:rsidRPr="00662BA1">
        <w:rPr>
          <w:szCs w:val="28"/>
        </w:rPr>
        <w:t>.</w:t>
      </w:r>
      <w:r w:rsidR="00176C73" w:rsidRPr="00662BA1">
        <w:rPr>
          <w:rStyle w:val="FootnoteReference"/>
          <w:szCs w:val="28"/>
        </w:rPr>
        <w:footnoteReference w:id="104"/>
      </w:r>
      <w:r w:rsidR="00176C73" w:rsidRPr="00662BA1">
        <w:rPr>
          <w:szCs w:val="28"/>
        </w:rPr>
        <w:t xml:space="preserve"> </w:t>
      </w:r>
      <w:r w:rsidR="00830380" w:rsidRPr="00662BA1">
        <w:rPr>
          <w:szCs w:val="28"/>
        </w:rPr>
        <w:t xml:space="preserve"> </w:t>
      </w:r>
      <w:r w:rsidR="00176C73" w:rsidRPr="00662BA1">
        <w:t>Of the appropriate direction to be given to a jury, he said:</w:t>
      </w:r>
      <w:r w:rsidR="00830380" w:rsidRPr="00662BA1">
        <w:t> </w:t>
      </w:r>
      <w:r w:rsidR="00176C73" w:rsidRPr="00662BA1">
        <w:rPr>
          <w:rStyle w:val="FootnoteReference"/>
        </w:rPr>
        <w:footnoteReference w:id="105"/>
      </w:r>
    </w:p>
    <w:p w:rsidR="00830380" w:rsidRPr="00662BA1" w:rsidRDefault="00830380" w:rsidP="00830380">
      <w:pPr>
        <w:pStyle w:val="Final"/>
        <w:tabs>
          <w:tab w:val="clear" w:pos="4320"/>
          <w:tab w:val="clear" w:pos="9072"/>
          <w:tab w:val="left" w:pos="2074"/>
        </w:tabs>
        <w:snapToGrid/>
        <w:spacing w:before="240" w:line="240" w:lineRule="auto"/>
        <w:ind w:left="1454" w:right="835" w:hanging="187"/>
        <w:jc w:val="both"/>
        <w:rPr>
          <w:sz w:val="24"/>
        </w:rPr>
      </w:pPr>
      <w:r w:rsidRPr="00662BA1">
        <w:rPr>
          <w:sz w:val="24"/>
        </w:rPr>
        <w:t>“</w:t>
      </w:r>
      <w:r w:rsidRPr="00662BA1">
        <w:rPr>
          <w:sz w:val="24"/>
        </w:rPr>
        <w:tab/>
      </w:r>
      <w:r w:rsidR="00176C73" w:rsidRPr="00662BA1">
        <w:rPr>
          <w:sz w:val="24"/>
        </w:rPr>
        <w:tab/>
        <w:t xml:space="preserve">Although it is usually undesirable to substitute the words of a statute with an equivalent formulation, it is sometimes appropriate to do so, for purposes of clarification.  </w:t>
      </w:r>
      <w:proofErr w:type="gramStart"/>
      <w:r w:rsidR="00176C73" w:rsidRPr="00662BA1">
        <w:rPr>
          <w:sz w:val="24"/>
        </w:rPr>
        <w:t>For example, when an alternative formulation may assist a jury in its deliberations.</w:t>
      </w:r>
      <w:proofErr w:type="gramEnd"/>
      <w:r w:rsidR="00176C73" w:rsidRPr="00662BA1">
        <w:rPr>
          <w:sz w:val="24"/>
        </w:rPr>
        <w:t xml:space="preserve">  On most such occasions, the </w:t>
      </w:r>
      <w:proofErr w:type="spellStart"/>
      <w:r w:rsidR="00176C73" w:rsidRPr="00662BA1">
        <w:rPr>
          <w:i/>
          <w:sz w:val="24"/>
        </w:rPr>
        <w:t>Seng</w:t>
      </w:r>
      <w:proofErr w:type="spellEnd"/>
      <w:r w:rsidR="00176C73" w:rsidRPr="00662BA1">
        <w:rPr>
          <w:i/>
          <w:sz w:val="24"/>
        </w:rPr>
        <w:t xml:space="preserve"> </w:t>
      </w:r>
      <w:proofErr w:type="spellStart"/>
      <w:r w:rsidR="00176C73" w:rsidRPr="00662BA1">
        <w:rPr>
          <w:i/>
          <w:sz w:val="24"/>
        </w:rPr>
        <w:t>Yuet</w:t>
      </w:r>
      <w:proofErr w:type="spellEnd"/>
      <w:r w:rsidR="00176C73" w:rsidRPr="00662BA1">
        <w:rPr>
          <w:i/>
          <w:sz w:val="24"/>
        </w:rPr>
        <w:t xml:space="preserve"> Fong</w:t>
      </w:r>
      <w:r w:rsidR="00176C73" w:rsidRPr="00662BA1">
        <w:rPr>
          <w:sz w:val="24"/>
        </w:rPr>
        <w:t xml:space="preserve"> formulation will be all that is required.</w:t>
      </w:r>
    </w:p>
    <w:p w:rsidR="00830380" w:rsidRPr="00662BA1" w:rsidRDefault="00830380" w:rsidP="00830380">
      <w:pPr>
        <w:pStyle w:val="Final"/>
        <w:tabs>
          <w:tab w:val="clear" w:pos="4320"/>
          <w:tab w:val="clear" w:pos="9072"/>
          <w:tab w:val="left" w:pos="2074"/>
        </w:tabs>
        <w:snapToGrid/>
        <w:spacing w:line="80" w:lineRule="exact"/>
        <w:ind w:left="1454" w:right="835" w:hanging="187"/>
        <w:jc w:val="both"/>
        <w:rPr>
          <w:sz w:val="24"/>
        </w:rPr>
      </w:pPr>
    </w:p>
    <w:p w:rsidR="00176C73" w:rsidRPr="00662BA1" w:rsidRDefault="00176C73" w:rsidP="00830380">
      <w:pPr>
        <w:pStyle w:val="Final"/>
        <w:tabs>
          <w:tab w:val="clear" w:pos="4320"/>
          <w:tab w:val="clear" w:pos="9072"/>
          <w:tab w:val="left" w:pos="2074"/>
        </w:tabs>
        <w:snapToGrid/>
        <w:spacing w:line="80" w:lineRule="exact"/>
        <w:ind w:left="1454" w:right="835" w:hanging="187"/>
        <w:jc w:val="both"/>
        <w:rPr>
          <w:sz w:val="24"/>
        </w:rPr>
      </w:pPr>
    </w:p>
    <w:p w:rsidR="00176C73" w:rsidRPr="00662BA1" w:rsidRDefault="00052537" w:rsidP="00830380">
      <w:pPr>
        <w:pStyle w:val="Final"/>
        <w:tabs>
          <w:tab w:val="clear" w:pos="4320"/>
          <w:tab w:val="clear" w:pos="9072"/>
          <w:tab w:val="left" w:pos="2074"/>
        </w:tabs>
        <w:snapToGrid/>
        <w:spacing w:before="360"/>
        <w:jc w:val="both"/>
        <w:rPr>
          <w:szCs w:val="28"/>
        </w:rPr>
      </w:pPr>
      <w:r w:rsidRPr="00662BA1">
        <w:rPr>
          <w:szCs w:val="28"/>
        </w:rPr>
        <w:fldChar w:fldCharType="begin"/>
      </w:r>
      <w:r w:rsidR="00830380" w:rsidRPr="00662BA1">
        <w:rPr>
          <w:szCs w:val="28"/>
        </w:rPr>
        <w:instrText xml:space="preserve"> AUTONUMOUT  </w:instrText>
      </w:r>
      <w:r w:rsidRPr="00662BA1">
        <w:rPr>
          <w:szCs w:val="28"/>
        </w:rPr>
        <w:fldChar w:fldCharType="end"/>
      </w:r>
      <w:r w:rsidR="00830380" w:rsidRPr="00662BA1">
        <w:rPr>
          <w:szCs w:val="28"/>
        </w:rPr>
        <w:tab/>
      </w:r>
      <w:proofErr w:type="gramStart"/>
      <w:r w:rsidR="00176C73" w:rsidRPr="00662BA1">
        <w:rPr>
          <w:szCs w:val="28"/>
        </w:rPr>
        <w:t>That,</w:t>
      </w:r>
      <w:proofErr w:type="gramEnd"/>
      <w:r w:rsidR="00176C73" w:rsidRPr="00662BA1">
        <w:rPr>
          <w:szCs w:val="28"/>
        </w:rPr>
        <w:t xml:space="preserve"> was a reference to the judgment of the Appeal Committee of the Court of Final Appeal in</w:t>
      </w:r>
      <w:r w:rsidR="00176C73" w:rsidRPr="00662BA1">
        <w:rPr>
          <w:i/>
          <w:sz w:val="24"/>
        </w:rPr>
        <w:t xml:space="preserve"> </w:t>
      </w:r>
      <w:proofErr w:type="spellStart"/>
      <w:r w:rsidR="00176C73" w:rsidRPr="00662BA1">
        <w:rPr>
          <w:i/>
          <w:szCs w:val="28"/>
        </w:rPr>
        <w:t>Seng</w:t>
      </w:r>
      <w:proofErr w:type="spellEnd"/>
      <w:r w:rsidR="00176C73" w:rsidRPr="00662BA1">
        <w:rPr>
          <w:i/>
          <w:szCs w:val="28"/>
        </w:rPr>
        <w:t xml:space="preserve"> </w:t>
      </w:r>
      <w:proofErr w:type="spellStart"/>
      <w:r w:rsidR="00176C73" w:rsidRPr="00662BA1">
        <w:rPr>
          <w:i/>
          <w:szCs w:val="28"/>
        </w:rPr>
        <w:t>Yuet</w:t>
      </w:r>
      <w:proofErr w:type="spellEnd"/>
      <w:r w:rsidR="00176C73" w:rsidRPr="00662BA1">
        <w:rPr>
          <w:i/>
          <w:szCs w:val="28"/>
        </w:rPr>
        <w:t xml:space="preserve"> Fong v HKSAR</w:t>
      </w:r>
      <w:r w:rsidR="00176C73" w:rsidRPr="00662BA1">
        <w:rPr>
          <w:szCs w:val="28"/>
        </w:rPr>
        <w:t>, delivered by Litton PJ, as he was then:</w:t>
      </w:r>
      <w:r w:rsidR="00830380" w:rsidRPr="00662BA1">
        <w:rPr>
          <w:szCs w:val="28"/>
        </w:rPr>
        <w:t> </w:t>
      </w:r>
      <w:r w:rsidR="00176C73" w:rsidRPr="00662BA1">
        <w:rPr>
          <w:rStyle w:val="FootnoteReference"/>
          <w:szCs w:val="28"/>
        </w:rPr>
        <w:footnoteReference w:id="106"/>
      </w:r>
    </w:p>
    <w:p w:rsidR="002A48C6" w:rsidRDefault="00830380" w:rsidP="00830380">
      <w:pPr>
        <w:pStyle w:val="Final"/>
        <w:tabs>
          <w:tab w:val="clear" w:pos="4320"/>
          <w:tab w:val="clear" w:pos="9072"/>
          <w:tab w:val="left" w:pos="2074"/>
        </w:tabs>
        <w:snapToGrid/>
        <w:spacing w:before="240" w:line="240" w:lineRule="auto"/>
        <w:ind w:left="1454" w:right="835" w:hanging="187"/>
        <w:jc w:val="both"/>
        <w:rPr>
          <w:sz w:val="24"/>
          <w:szCs w:val="24"/>
        </w:rPr>
      </w:pPr>
      <w:r w:rsidRPr="00662BA1">
        <w:rPr>
          <w:sz w:val="24"/>
          <w:szCs w:val="24"/>
        </w:rPr>
        <w:t>“</w:t>
      </w:r>
      <w:r w:rsidRPr="00662BA1">
        <w:rPr>
          <w:sz w:val="24"/>
          <w:szCs w:val="24"/>
        </w:rPr>
        <w:tab/>
      </w:r>
      <w:r w:rsidR="00176C73" w:rsidRPr="00662BA1">
        <w:rPr>
          <w:sz w:val="24"/>
          <w:szCs w:val="24"/>
        </w:rPr>
        <w:t>To convict, the jury had to find that the accused had grounds for believing; and there was the additional requirement that the grounds must be reasonable: That is, that anyone looking at those grounds objectively would so believe.”  </w:t>
      </w:r>
    </w:p>
    <w:p w:rsidR="00830380" w:rsidRPr="00662BA1" w:rsidRDefault="00830380" w:rsidP="002A48C6">
      <w:pPr>
        <w:pStyle w:val="Final"/>
        <w:tabs>
          <w:tab w:val="clear" w:pos="4320"/>
          <w:tab w:val="clear" w:pos="9072"/>
          <w:tab w:val="left" w:pos="2074"/>
        </w:tabs>
        <w:snapToGrid/>
        <w:spacing w:line="80" w:lineRule="exact"/>
        <w:ind w:left="1454" w:right="835" w:hanging="187"/>
        <w:jc w:val="both"/>
        <w:rPr>
          <w:sz w:val="24"/>
          <w:szCs w:val="24"/>
        </w:rPr>
      </w:pPr>
    </w:p>
    <w:p w:rsidR="00830380" w:rsidRPr="00662BA1" w:rsidRDefault="00830380" w:rsidP="00830380">
      <w:pPr>
        <w:pStyle w:val="Final"/>
        <w:tabs>
          <w:tab w:val="clear" w:pos="4320"/>
          <w:tab w:val="clear" w:pos="9072"/>
          <w:tab w:val="left" w:pos="2074"/>
        </w:tabs>
        <w:snapToGrid/>
        <w:spacing w:line="80" w:lineRule="exact"/>
        <w:ind w:left="1454" w:right="835" w:hanging="187"/>
        <w:jc w:val="both"/>
        <w:rPr>
          <w:sz w:val="24"/>
          <w:szCs w:val="24"/>
        </w:rPr>
      </w:pPr>
    </w:p>
    <w:p w:rsidR="00830380" w:rsidRPr="00662BA1" w:rsidRDefault="00052537" w:rsidP="00830380">
      <w:pPr>
        <w:pStyle w:val="Final"/>
        <w:tabs>
          <w:tab w:val="left" w:pos="2074"/>
        </w:tabs>
        <w:snapToGrid/>
        <w:spacing w:before="360"/>
        <w:jc w:val="both"/>
        <w:rPr>
          <w:rFonts w:eastAsia="PMingLiU"/>
          <w:szCs w:val="24"/>
          <w:lang w:eastAsia="zh-TW"/>
        </w:rPr>
      </w:pPr>
      <w:r w:rsidRPr="00662BA1">
        <w:rPr>
          <w:szCs w:val="24"/>
        </w:rPr>
        <w:fldChar w:fldCharType="begin"/>
      </w:r>
      <w:r w:rsidR="00830380" w:rsidRPr="00662BA1">
        <w:rPr>
          <w:szCs w:val="24"/>
        </w:rPr>
        <w:instrText xml:space="preserve"> AUTONUMOUT  </w:instrText>
      </w:r>
      <w:r w:rsidRPr="00662BA1">
        <w:rPr>
          <w:szCs w:val="24"/>
        </w:rPr>
        <w:fldChar w:fldCharType="end"/>
      </w:r>
      <w:r w:rsidR="00830380" w:rsidRPr="00662BA1">
        <w:rPr>
          <w:szCs w:val="24"/>
        </w:rPr>
        <w:tab/>
      </w:r>
      <w:r w:rsidR="00176C73" w:rsidRPr="00662BA1">
        <w:rPr>
          <w:szCs w:val="28"/>
        </w:rPr>
        <w:t xml:space="preserve">Nevertheless, </w:t>
      </w:r>
      <w:proofErr w:type="spellStart"/>
      <w:r w:rsidR="00176C73" w:rsidRPr="00662BA1">
        <w:rPr>
          <w:szCs w:val="28"/>
        </w:rPr>
        <w:t>Spigelman</w:t>
      </w:r>
      <w:proofErr w:type="spellEnd"/>
      <w:r w:rsidR="00176C73" w:rsidRPr="00662BA1">
        <w:rPr>
          <w:szCs w:val="28"/>
        </w:rPr>
        <w:t xml:space="preserve"> NPJ went on to add:</w:t>
      </w:r>
      <w:r w:rsidR="00830380" w:rsidRPr="00662BA1">
        <w:rPr>
          <w:rFonts w:eastAsia="PMingLiU"/>
          <w:szCs w:val="28"/>
          <w:lang w:val="en-US" w:eastAsia="zh-TW"/>
        </w:rPr>
        <w:t> </w:t>
      </w:r>
      <w:r w:rsidR="00176C73" w:rsidRPr="00662BA1">
        <w:rPr>
          <w:rStyle w:val="FootnoteReference"/>
          <w:szCs w:val="28"/>
        </w:rPr>
        <w:footnoteReference w:id="107"/>
      </w:r>
    </w:p>
    <w:p w:rsidR="00830380" w:rsidRPr="00662BA1" w:rsidRDefault="00830380" w:rsidP="00830380">
      <w:pPr>
        <w:pStyle w:val="Final"/>
        <w:tabs>
          <w:tab w:val="clear" w:pos="4320"/>
          <w:tab w:val="clear" w:pos="9072"/>
          <w:tab w:val="left" w:pos="2074"/>
        </w:tabs>
        <w:snapToGrid/>
        <w:spacing w:before="240" w:line="240" w:lineRule="auto"/>
        <w:ind w:left="1454" w:right="835" w:hanging="187"/>
        <w:jc w:val="both"/>
        <w:rPr>
          <w:sz w:val="24"/>
        </w:rPr>
      </w:pPr>
      <w:r w:rsidRPr="00662BA1">
        <w:rPr>
          <w:rFonts w:eastAsia="PMingLiU"/>
          <w:sz w:val="24"/>
          <w:lang w:eastAsia="zh-TW"/>
        </w:rPr>
        <w:t>“</w:t>
      </w:r>
      <w:r w:rsidRPr="00662BA1">
        <w:rPr>
          <w:rFonts w:eastAsia="PMingLiU" w:hint="eastAsia"/>
          <w:sz w:val="24"/>
          <w:lang w:eastAsia="zh-TW"/>
        </w:rPr>
        <w:tab/>
      </w:r>
      <w:r w:rsidRPr="00662BA1">
        <w:rPr>
          <w:rFonts w:eastAsia="PMingLiU"/>
          <w:sz w:val="24"/>
          <w:lang w:eastAsia="zh-TW"/>
        </w:rPr>
        <w:t>H</w:t>
      </w:r>
      <w:r w:rsidR="00176C73" w:rsidRPr="00662BA1">
        <w:rPr>
          <w:sz w:val="24"/>
        </w:rPr>
        <w:t>owever, another formulation may sometimes assist.  In s</w:t>
      </w:r>
      <w:r w:rsidRPr="00662BA1">
        <w:rPr>
          <w:sz w:val="24"/>
          <w:lang w:val="en-US"/>
        </w:rPr>
        <w:t> </w:t>
      </w:r>
      <w:r w:rsidR="00176C73" w:rsidRPr="00662BA1">
        <w:rPr>
          <w:sz w:val="24"/>
        </w:rPr>
        <w:t>25(1), the word “believe” is used in the sense of “know”.  The two mental elements in the subsection should be understood as if they read: “knew or ought to have known”.”</w:t>
      </w:r>
    </w:p>
    <w:p w:rsidR="00830380" w:rsidRPr="00662BA1" w:rsidRDefault="00830380" w:rsidP="00830380">
      <w:pPr>
        <w:pStyle w:val="Final"/>
        <w:tabs>
          <w:tab w:val="clear" w:pos="4320"/>
          <w:tab w:val="clear" w:pos="9072"/>
          <w:tab w:val="left" w:pos="2074"/>
        </w:tabs>
        <w:snapToGrid/>
        <w:spacing w:line="80" w:lineRule="exact"/>
        <w:ind w:left="1454" w:right="835" w:hanging="187"/>
        <w:jc w:val="both"/>
        <w:rPr>
          <w:sz w:val="24"/>
        </w:rPr>
      </w:pPr>
    </w:p>
    <w:p w:rsidR="00176C73" w:rsidRPr="00662BA1" w:rsidRDefault="00176C73" w:rsidP="00830380">
      <w:pPr>
        <w:pStyle w:val="Final"/>
        <w:tabs>
          <w:tab w:val="clear" w:pos="4320"/>
          <w:tab w:val="clear" w:pos="9072"/>
          <w:tab w:val="left" w:pos="2074"/>
        </w:tabs>
        <w:snapToGrid/>
        <w:spacing w:line="80" w:lineRule="exact"/>
        <w:ind w:left="1454" w:right="835" w:hanging="187"/>
        <w:jc w:val="both"/>
        <w:rPr>
          <w:rFonts w:eastAsia="PMingLiU"/>
          <w:szCs w:val="24"/>
          <w:lang w:eastAsia="zh-TW"/>
        </w:rPr>
      </w:pPr>
    </w:p>
    <w:p w:rsidR="00FC35F8" w:rsidRPr="00662BA1" w:rsidRDefault="00052537" w:rsidP="00FC35F8">
      <w:pPr>
        <w:pStyle w:val="Final"/>
        <w:tabs>
          <w:tab w:val="clear" w:pos="4320"/>
          <w:tab w:val="clear" w:pos="9072"/>
        </w:tabs>
        <w:snapToGrid/>
        <w:spacing w:before="360"/>
        <w:jc w:val="both"/>
        <w:rPr>
          <w:szCs w:val="28"/>
        </w:rPr>
      </w:pPr>
      <w:r w:rsidRPr="00662BA1">
        <w:rPr>
          <w:szCs w:val="28"/>
        </w:rPr>
        <w:fldChar w:fldCharType="begin"/>
      </w:r>
      <w:r w:rsidR="00830380" w:rsidRPr="00662BA1">
        <w:rPr>
          <w:szCs w:val="28"/>
        </w:rPr>
        <w:instrText xml:space="preserve"> AUTONUMOUT  </w:instrText>
      </w:r>
      <w:r w:rsidRPr="00662BA1">
        <w:rPr>
          <w:szCs w:val="28"/>
        </w:rPr>
        <w:fldChar w:fldCharType="end"/>
      </w:r>
      <w:r w:rsidR="00830380" w:rsidRPr="00662BA1">
        <w:rPr>
          <w:szCs w:val="28"/>
        </w:rPr>
        <w:tab/>
      </w:r>
      <w:r w:rsidR="00176C73" w:rsidRPr="00662BA1">
        <w:rPr>
          <w:szCs w:val="28"/>
        </w:rPr>
        <w:t xml:space="preserve">In the result, </w:t>
      </w:r>
      <w:proofErr w:type="spellStart"/>
      <w:r w:rsidR="00176C73" w:rsidRPr="00662BA1">
        <w:rPr>
          <w:szCs w:val="28"/>
        </w:rPr>
        <w:t>Spigelman</w:t>
      </w:r>
      <w:proofErr w:type="spellEnd"/>
      <w:r w:rsidR="00176C73" w:rsidRPr="00662BA1">
        <w:rPr>
          <w:szCs w:val="28"/>
        </w:rPr>
        <w:t xml:space="preserve"> NPJ determined that this Cour</w:t>
      </w:r>
      <w:r w:rsidR="00FC35F8" w:rsidRPr="00662BA1">
        <w:rPr>
          <w:szCs w:val="28"/>
        </w:rPr>
        <w:t xml:space="preserve">t had erred in concluding that </w:t>
      </w:r>
      <w:r w:rsidR="00FC35F8" w:rsidRPr="00662BA1">
        <w:rPr>
          <w:szCs w:val="28"/>
          <w:lang w:val="en-US"/>
        </w:rPr>
        <w:t>“</w:t>
      </w:r>
      <w:r w:rsidR="00FC35F8" w:rsidRPr="00662BA1">
        <w:rPr>
          <w:szCs w:val="28"/>
        </w:rPr>
        <w:t>a test of “</w:t>
      </w:r>
      <w:r w:rsidR="00176C73" w:rsidRPr="00662BA1">
        <w:rPr>
          <w:szCs w:val="28"/>
        </w:rPr>
        <w:t>could believe</w:t>
      </w:r>
      <w:r w:rsidR="00FC35F8" w:rsidRPr="00662BA1">
        <w:rPr>
          <w:szCs w:val="28"/>
        </w:rPr>
        <w:t>” was applicable to section</w:t>
      </w:r>
      <w:r w:rsidR="00FC35F8" w:rsidRPr="00662BA1">
        <w:rPr>
          <w:szCs w:val="28"/>
          <w:lang w:val="en-US"/>
        </w:rPr>
        <w:t> </w:t>
      </w:r>
      <w:r w:rsidR="00FC35F8" w:rsidRPr="00662BA1">
        <w:rPr>
          <w:szCs w:val="28"/>
        </w:rPr>
        <w:t>25(1), rather than a test of “</w:t>
      </w:r>
      <w:r w:rsidR="00176C73" w:rsidRPr="00662BA1">
        <w:rPr>
          <w:szCs w:val="28"/>
        </w:rPr>
        <w:t>would believe</w:t>
      </w:r>
      <w:r w:rsidR="00FC35F8" w:rsidRPr="00662BA1">
        <w:rPr>
          <w:szCs w:val="28"/>
        </w:rPr>
        <w:t>”</w:t>
      </w:r>
      <w:r w:rsidR="00176C73" w:rsidRPr="00662BA1">
        <w:rPr>
          <w:szCs w:val="28"/>
        </w:rPr>
        <w:t>.</w:t>
      </w:r>
      <w:r w:rsidR="00FC35F8" w:rsidRPr="00662BA1">
        <w:rPr>
          <w:szCs w:val="28"/>
        </w:rPr>
        <w:t>” </w:t>
      </w:r>
      <w:r w:rsidR="00176C73" w:rsidRPr="00662BA1">
        <w:rPr>
          <w:rStyle w:val="FootnoteReference"/>
          <w:szCs w:val="28"/>
        </w:rPr>
        <w:footnoteReference w:id="108"/>
      </w:r>
      <w:r w:rsidR="00176C73" w:rsidRPr="00662BA1">
        <w:rPr>
          <w:szCs w:val="28"/>
        </w:rPr>
        <w:t xml:space="preserve"> </w:t>
      </w:r>
      <w:r w:rsidR="00FC35F8" w:rsidRPr="00662BA1">
        <w:rPr>
          <w:rFonts w:ascii="PMingLiU" w:eastAsia="PMingLiU" w:hAnsi="PMingLiU" w:hint="eastAsia"/>
          <w:szCs w:val="28"/>
          <w:lang w:eastAsia="zh-TW"/>
        </w:rPr>
        <w:t xml:space="preserve"> </w:t>
      </w:r>
      <w:r w:rsidR="00FC35F8" w:rsidRPr="00662BA1">
        <w:rPr>
          <w:szCs w:val="28"/>
        </w:rPr>
        <w:t xml:space="preserve">He said that, </w:t>
      </w:r>
      <w:r w:rsidR="000D4EAC">
        <w:rPr>
          <w:szCs w:val="28"/>
        </w:rPr>
        <w:t>“</w:t>
      </w:r>
      <w:r w:rsidR="00176C73" w:rsidRPr="00662BA1">
        <w:rPr>
          <w:szCs w:val="28"/>
        </w:rPr>
        <w:t xml:space="preserve">Only </w:t>
      </w:r>
      <w:r w:rsidR="00FC35F8" w:rsidRPr="00662BA1">
        <w:rPr>
          <w:szCs w:val="28"/>
        </w:rPr>
        <w:t xml:space="preserve">a test which states that those “grounds” </w:t>
      </w:r>
      <w:r w:rsidR="00176C73" w:rsidRPr="00662BA1">
        <w:rPr>
          <w:i/>
          <w:szCs w:val="28"/>
        </w:rPr>
        <w:t>would</w:t>
      </w:r>
      <w:r w:rsidR="00176C73" w:rsidRPr="00662BA1">
        <w:rPr>
          <w:szCs w:val="28"/>
        </w:rPr>
        <w:t xml:space="preserve"> lead to the ‘belief’ does so.</w:t>
      </w:r>
      <w:r w:rsidR="00FC35F8" w:rsidRPr="00662BA1">
        <w:rPr>
          <w:szCs w:val="28"/>
        </w:rPr>
        <w:t>” </w:t>
      </w:r>
      <w:r w:rsidR="00176C73" w:rsidRPr="00662BA1">
        <w:rPr>
          <w:rStyle w:val="FootnoteReference"/>
          <w:szCs w:val="28"/>
        </w:rPr>
        <w:footnoteReference w:id="109"/>
      </w:r>
      <w:r w:rsidR="00176C73" w:rsidRPr="00662BA1">
        <w:rPr>
          <w:szCs w:val="28"/>
        </w:rPr>
        <w:t xml:space="preserve"> </w:t>
      </w:r>
    </w:p>
    <w:p w:rsidR="00FC35F8" w:rsidRPr="00662BA1" w:rsidRDefault="00052537" w:rsidP="00FC35F8">
      <w:pPr>
        <w:pStyle w:val="Final"/>
        <w:tabs>
          <w:tab w:val="clear" w:pos="4320"/>
          <w:tab w:val="clear" w:pos="9072"/>
        </w:tabs>
        <w:snapToGrid/>
        <w:spacing w:before="360"/>
        <w:jc w:val="both"/>
        <w:rPr>
          <w:szCs w:val="28"/>
        </w:rPr>
      </w:pPr>
      <w:r w:rsidRPr="00662BA1">
        <w:rPr>
          <w:szCs w:val="28"/>
        </w:rPr>
        <w:fldChar w:fldCharType="begin"/>
      </w:r>
      <w:r w:rsidR="00FC35F8" w:rsidRPr="00662BA1">
        <w:rPr>
          <w:szCs w:val="28"/>
        </w:rPr>
        <w:instrText xml:space="preserve"> AUTONUMOUT  </w:instrText>
      </w:r>
      <w:r w:rsidRPr="00662BA1">
        <w:rPr>
          <w:szCs w:val="28"/>
        </w:rPr>
        <w:fldChar w:fldCharType="end"/>
      </w:r>
      <w:r w:rsidR="00FC35F8" w:rsidRPr="00662BA1">
        <w:rPr>
          <w:szCs w:val="28"/>
        </w:rPr>
        <w:tab/>
      </w:r>
      <w:r w:rsidR="00176C73" w:rsidRPr="00662BA1">
        <w:rPr>
          <w:szCs w:val="28"/>
        </w:rPr>
        <w:t xml:space="preserve">Whilst there is no issue that the judge applied a ‘would’ test, rather than a ‘could’ test, issue is taken on the basis that the judge had regard to ‘facts’, rather than ‘grounds’, and did so in respect of a </w:t>
      </w:r>
      <w:r w:rsidR="00FC35F8" w:rsidRPr="00662BA1">
        <w:rPr>
          <w:szCs w:val="28"/>
        </w:rPr>
        <w:t>“</w:t>
      </w:r>
      <w:r w:rsidR="00176C73" w:rsidRPr="00662BA1">
        <w:rPr>
          <w:szCs w:val="28"/>
        </w:rPr>
        <w:t>right-thinking member of the community</w:t>
      </w:r>
      <w:r w:rsidR="00FC35F8" w:rsidRPr="00662BA1">
        <w:rPr>
          <w:szCs w:val="28"/>
        </w:rPr>
        <w:t>”</w:t>
      </w:r>
      <w:r w:rsidR="00176C73" w:rsidRPr="00662BA1">
        <w:rPr>
          <w:szCs w:val="28"/>
        </w:rPr>
        <w:t>, rather than the applicant.</w:t>
      </w:r>
    </w:p>
    <w:p w:rsidR="00176C73" w:rsidRPr="00662BA1" w:rsidRDefault="00052537" w:rsidP="00FC35F8">
      <w:pPr>
        <w:pStyle w:val="Final"/>
        <w:tabs>
          <w:tab w:val="clear" w:pos="4320"/>
          <w:tab w:val="clear" w:pos="9072"/>
        </w:tabs>
        <w:snapToGrid/>
        <w:spacing w:before="360"/>
        <w:jc w:val="both"/>
        <w:rPr>
          <w:szCs w:val="28"/>
        </w:rPr>
      </w:pPr>
      <w:r w:rsidRPr="00662BA1">
        <w:rPr>
          <w:szCs w:val="28"/>
        </w:rPr>
        <w:fldChar w:fldCharType="begin"/>
      </w:r>
      <w:r w:rsidR="00FC35F8" w:rsidRPr="00662BA1">
        <w:rPr>
          <w:szCs w:val="28"/>
        </w:rPr>
        <w:instrText xml:space="preserve"> AUTONUMOUT  </w:instrText>
      </w:r>
      <w:r w:rsidRPr="00662BA1">
        <w:rPr>
          <w:szCs w:val="28"/>
        </w:rPr>
        <w:fldChar w:fldCharType="end"/>
      </w:r>
      <w:r w:rsidR="00FC35F8" w:rsidRPr="00662BA1">
        <w:rPr>
          <w:szCs w:val="28"/>
        </w:rPr>
        <w:tab/>
      </w:r>
      <w:proofErr w:type="spellStart"/>
      <w:r w:rsidR="00176C73" w:rsidRPr="00662BA1">
        <w:rPr>
          <w:szCs w:val="28"/>
        </w:rPr>
        <w:t>Spigelman</w:t>
      </w:r>
      <w:proofErr w:type="spellEnd"/>
      <w:r w:rsidR="00176C73" w:rsidRPr="00662BA1">
        <w:rPr>
          <w:szCs w:val="28"/>
        </w:rPr>
        <w:t xml:space="preserve"> NPJ rejected the determination of this </w:t>
      </w:r>
      <w:proofErr w:type="gramStart"/>
      <w:r w:rsidR="00176C73" w:rsidRPr="00662BA1">
        <w:rPr>
          <w:szCs w:val="28"/>
        </w:rPr>
        <w:t>Court</w:t>
      </w:r>
      <w:r w:rsidR="00FC35F8" w:rsidRPr="00662BA1">
        <w:rPr>
          <w:szCs w:val="28"/>
        </w:rPr>
        <w:t> </w:t>
      </w:r>
      <w:proofErr w:type="gramEnd"/>
      <w:r w:rsidR="00176C73" w:rsidRPr="00662BA1">
        <w:rPr>
          <w:rStyle w:val="FootnoteReference"/>
          <w:szCs w:val="28"/>
        </w:rPr>
        <w:footnoteReference w:id="110"/>
      </w:r>
      <w:r w:rsidR="00176C73" w:rsidRPr="00662BA1">
        <w:rPr>
          <w:szCs w:val="28"/>
        </w:rPr>
        <w:t xml:space="preserve">, that in the consideration of whether or not the applicant dealt with the property having reasonable grounds to believe that it was the proceeds of an indictable offence, </w:t>
      </w:r>
      <w:r w:rsidR="00FC35F8" w:rsidRPr="00662BA1">
        <w:rPr>
          <w:szCs w:val="28"/>
        </w:rPr>
        <w:t>“</w:t>
      </w:r>
      <w:r w:rsidR="00176C73" w:rsidRPr="00662BA1">
        <w:rPr>
          <w:szCs w:val="28"/>
        </w:rPr>
        <w:t>personal beliefs, perceptions or prejudices of the applicant are remov</w:t>
      </w:r>
      <w:r w:rsidR="00FC35F8" w:rsidRPr="00662BA1">
        <w:rPr>
          <w:szCs w:val="28"/>
        </w:rPr>
        <w:t xml:space="preserve">ed from the assessment process.” </w:t>
      </w:r>
      <w:r w:rsidR="00176C73" w:rsidRPr="00662BA1">
        <w:rPr>
          <w:szCs w:val="28"/>
        </w:rPr>
        <w:t xml:space="preserve"> Of that error, he said:</w:t>
      </w:r>
      <w:r w:rsidR="00FC35F8" w:rsidRPr="00662BA1">
        <w:rPr>
          <w:szCs w:val="28"/>
        </w:rPr>
        <w:t> </w:t>
      </w:r>
      <w:r w:rsidR="00176C73" w:rsidRPr="00662BA1">
        <w:rPr>
          <w:rStyle w:val="FootnoteReference"/>
          <w:szCs w:val="28"/>
        </w:rPr>
        <w:footnoteReference w:id="111"/>
      </w:r>
    </w:p>
    <w:p w:rsidR="00FC35F8" w:rsidRPr="00662BA1" w:rsidRDefault="00FC35F8" w:rsidP="00FC35F8">
      <w:pPr>
        <w:pStyle w:val="Final"/>
        <w:tabs>
          <w:tab w:val="clear" w:pos="4320"/>
          <w:tab w:val="clear" w:pos="9072"/>
          <w:tab w:val="left" w:pos="2074"/>
        </w:tabs>
        <w:snapToGrid/>
        <w:spacing w:before="240" w:line="240" w:lineRule="auto"/>
        <w:ind w:left="1454" w:right="835" w:hanging="187"/>
        <w:jc w:val="both"/>
        <w:rPr>
          <w:sz w:val="24"/>
          <w:szCs w:val="24"/>
        </w:rPr>
      </w:pPr>
      <w:r w:rsidRPr="00662BA1">
        <w:rPr>
          <w:sz w:val="24"/>
          <w:szCs w:val="24"/>
        </w:rPr>
        <w:t>“</w:t>
      </w:r>
      <w:r w:rsidRPr="00662BA1">
        <w:rPr>
          <w:sz w:val="24"/>
          <w:szCs w:val="24"/>
        </w:rPr>
        <w:tab/>
      </w:r>
      <w:r w:rsidRPr="00662BA1">
        <w:rPr>
          <w:sz w:val="24"/>
          <w:szCs w:val="24"/>
        </w:rPr>
        <w:tab/>
      </w:r>
      <w:r w:rsidR="00176C73" w:rsidRPr="00662BA1">
        <w:rPr>
          <w:sz w:val="24"/>
          <w:szCs w:val="24"/>
        </w:rPr>
        <w:t>The error, I believe, is in the reasoning process by which the statutory word “grounds” has been replaced by the word “facts”.  As I have said above, “facts” is a narrower concept than “grounds”.  It may be that a “belief, perception or prejudice” is not a “fact”.  However, such matters fit quite readily within the concept of a “ground”, which a particular person can be said to have ‘had’.</w:t>
      </w:r>
      <w:r w:rsidRPr="00662BA1">
        <w:rPr>
          <w:sz w:val="24"/>
          <w:szCs w:val="24"/>
        </w:rPr>
        <w:t>”</w:t>
      </w:r>
    </w:p>
    <w:p w:rsidR="00FC35F8" w:rsidRPr="00662BA1" w:rsidRDefault="00FC35F8" w:rsidP="00FC35F8">
      <w:pPr>
        <w:pStyle w:val="Final"/>
        <w:tabs>
          <w:tab w:val="clear" w:pos="4320"/>
          <w:tab w:val="clear" w:pos="9072"/>
          <w:tab w:val="left" w:pos="2074"/>
        </w:tabs>
        <w:snapToGrid/>
        <w:spacing w:line="80" w:lineRule="exact"/>
        <w:ind w:left="1454" w:right="835" w:hanging="187"/>
        <w:jc w:val="both"/>
        <w:rPr>
          <w:sz w:val="24"/>
          <w:szCs w:val="24"/>
        </w:rPr>
      </w:pPr>
    </w:p>
    <w:p w:rsidR="00176C73" w:rsidRPr="00662BA1" w:rsidRDefault="00176C73" w:rsidP="00FC35F8">
      <w:pPr>
        <w:pStyle w:val="Final"/>
        <w:tabs>
          <w:tab w:val="clear" w:pos="4320"/>
          <w:tab w:val="clear" w:pos="9072"/>
          <w:tab w:val="left" w:pos="2074"/>
        </w:tabs>
        <w:snapToGrid/>
        <w:spacing w:line="80" w:lineRule="exact"/>
        <w:ind w:left="1454" w:right="835" w:hanging="187"/>
        <w:jc w:val="both"/>
        <w:rPr>
          <w:sz w:val="24"/>
          <w:szCs w:val="24"/>
        </w:rPr>
      </w:pPr>
    </w:p>
    <w:p w:rsidR="00176C73" w:rsidRPr="00662BA1" w:rsidRDefault="00052537" w:rsidP="00FC35F8">
      <w:pPr>
        <w:pStyle w:val="Final"/>
        <w:tabs>
          <w:tab w:val="clear" w:pos="4320"/>
          <w:tab w:val="clear" w:pos="9072"/>
          <w:tab w:val="left" w:pos="2074"/>
        </w:tabs>
        <w:snapToGrid/>
        <w:spacing w:before="360"/>
        <w:jc w:val="both"/>
        <w:rPr>
          <w:szCs w:val="24"/>
        </w:rPr>
      </w:pPr>
      <w:r w:rsidRPr="00662BA1">
        <w:rPr>
          <w:szCs w:val="24"/>
        </w:rPr>
        <w:fldChar w:fldCharType="begin"/>
      </w:r>
      <w:r w:rsidR="00FC35F8" w:rsidRPr="00662BA1">
        <w:rPr>
          <w:szCs w:val="24"/>
        </w:rPr>
        <w:instrText xml:space="preserve"> AUTONUMOUT  </w:instrText>
      </w:r>
      <w:r w:rsidRPr="00662BA1">
        <w:rPr>
          <w:szCs w:val="24"/>
        </w:rPr>
        <w:fldChar w:fldCharType="end"/>
      </w:r>
      <w:r w:rsidR="00FC35F8" w:rsidRPr="00662BA1">
        <w:rPr>
          <w:szCs w:val="24"/>
        </w:rPr>
        <w:tab/>
      </w:r>
      <w:r w:rsidR="00176C73" w:rsidRPr="00662BA1">
        <w:rPr>
          <w:szCs w:val="28"/>
        </w:rPr>
        <w:t xml:space="preserve">Earlier, </w:t>
      </w:r>
      <w:proofErr w:type="spellStart"/>
      <w:r w:rsidR="00176C73" w:rsidRPr="00662BA1">
        <w:rPr>
          <w:szCs w:val="28"/>
        </w:rPr>
        <w:t>Spigelman</w:t>
      </w:r>
      <w:proofErr w:type="spellEnd"/>
      <w:r w:rsidR="00176C73" w:rsidRPr="00662BA1">
        <w:rPr>
          <w:szCs w:val="28"/>
        </w:rPr>
        <w:t xml:space="preserve"> NPJ said:</w:t>
      </w:r>
      <w:r w:rsidR="00FC35F8" w:rsidRPr="00662BA1">
        <w:rPr>
          <w:szCs w:val="28"/>
        </w:rPr>
        <w:t> </w:t>
      </w:r>
      <w:r w:rsidR="00176C73" w:rsidRPr="00662BA1">
        <w:rPr>
          <w:rStyle w:val="FootnoteReference"/>
          <w:szCs w:val="28"/>
        </w:rPr>
        <w:footnoteReference w:id="112"/>
      </w:r>
    </w:p>
    <w:p w:rsidR="00C35916" w:rsidRDefault="00FC35F8" w:rsidP="00C35916">
      <w:pPr>
        <w:pStyle w:val="Final"/>
        <w:tabs>
          <w:tab w:val="clear" w:pos="4320"/>
          <w:tab w:val="clear" w:pos="9072"/>
          <w:tab w:val="left" w:pos="2074"/>
        </w:tabs>
        <w:snapToGrid/>
        <w:spacing w:before="240" w:line="240" w:lineRule="auto"/>
        <w:ind w:left="1454" w:right="835" w:hanging="187"/>
        <w:jc w:val="both"/>
        <w:rPr>
          <w:sz w:val="24"/>
          <w:szCs w:val="24"/>
        </w:rPr>
      </w:pPr>
      <w:r w:rsidRPr="00662BA1">
        <w:rPr>
          <w:sz w:val="24"/>
          <w:szCs w:val="24"/>
        </w:rPr>
        <w:t>“</w:t>
      </w:r>
      <w:r w:rsidRPr="00662BA1">
        <w:rPr>
          <w:sz w:val="24"/>
          <w:szCs w:val="24"/>
        </w:rPr>
        <w:tab/>
      </w:r>
      <w:r w:rsidR="00176C73" w:rsidRPr="00662BA1">
        <w:rPr>
          <w:sz w:val="24"/>
          <w:szCs w:val="24"/>
        </w:rPr>
        <w:t>That does not mean that any such “perception or evaluation”, to use the words of the ground of appeal, is entitled to weight, let alone determinative weight.</w:t>
      </w:r>
      <w:r w:rsidRPr="00662BA1">
        <w:rPr>
          <w:sz w:val="24"/>
          <w:szCs w:val="24"/>
        </w:rPr>
        <w:t>”</w:t>
      </w:r>
    </w:p>
    <w:p w:rsidR="00C35916" w:rsidRDefault="00C35916" w:rsidP="00C35916">
      <w:pPr>
        <w:pStyle w:val="Final"/>
        <w:tabs>
          <w:tab w:val="clear" w:pos="4320"/>
          <w:tab w:val="clear" w:pos="9072"/>
          <w:tab w:val="left" w:pos="2074"/>
        </w:tabs>
        <w:snapToGrid/>
        <w:spacing w:line="80" w:lineRule="exact"/>
        <w:ind w:left="1454" w:right="835" w:hanging="187"/>
        <w:jc w:val="both"/>
        <w:rPr>
          <w:sz w:val="24"/>
          <w:szCs w:val="24"/>
        </w:rPr>
      </w:pPr>
    </w:p>
    <w:p w:rsidR="00C35916" w:rsidRDefault="00C35916" w:rsidP="00C35916">
      <w:pPr>
        <w:pStyle w:val="Final"/>
        <w:tabs>
          <w:tab w:val="clear" w:pos="4320"/>
          <w:tab w:val="clear" w:pos="9072"/>
          <w:tab w:val="left" w:pos="2074"/>
        </w:tabs>
        <w:snapToGrid/>
        <w:spacing w:line="80" w:lineRule="exact"/>
        <w:ind w:left="1454" w:right="835" w:hanging="187"/>
        <w:jc w:val="both"/>
        <w:rPr>
          <w:sz w:val="24"/>
          <w:szCs w:val="24"/>
        </w:rPr>
      </w:pPr>
    </w:p>
    <w:p w:rsidR="00701E7F" w:rsidRDefault="00701E7F" w:rsidP="00C35916">
      <w:pPr>
        <w:pStyle w:val="Final"/>
        <w:tabs>
          <w:tab w:val="clear" w:pos="4320"/>
          <w:tab w:val="clear" w:pos="9072"/>
          <w:tab w:val="left" w:pos="2074"/>
        </w:tabs>
        <w:snapToGrid/>
        <w:spacing w:line="80" w:lineRule="exact"/>
        <w:ind w:left="1454" w:right="835" w:hanging="187"/>
        <w:jc w:val="both"/>
      </w:pPr>
    </w:p>
    <w:p w:rsidR="00176C73" w:rsidRPr="00662BA1" w:rsidRDefault="00176C73" w:rsidP="003B6D02">
      <w:pPr>
        <w:pStyle w:val="Final"/>
        <w:tabs>
          <w:tab w:val="clear" w:pos="4320"/>
          <w:tab w:val="clear" w:pos="9072"/>
        </w:tabs>
        <w:spacing w:before="120" w:after="120"/>
        <w:jc w:val="both"/>
      </w:pPr>
      <w:r w:rsidRPr="00662BA1">
        <w:t>He went on to add:</w:t>
      </w:r>
      <w:r w:rsidR="00FC35F8" w:rsidRPr="00662BA1">
        <w:t> </w:t>
      </w:r>
      <w:r w:rsidRPr="00662BA1">
        <w:rPr>
          <w:rStyle w:val="FootnoteReference"/>
        </w:rPr>
        <w:footnoteReference w:id="113"/>
      </w:r>
    </w:p>
    <w:p w:rsidR="00FC35F8" w:rsidRPr="00662BA1" w:rsidRDefault="00FC35F8" w:rsidP="00FC35F8">
      <w:pPr>
        <w:pStyle w:val="Final"/>
        <w:tabs>
          <w:tab w:val="clear" w:pos="4320"/>
          <w:tab w:val="clear" w:pos="9072"/>
          <w:tab w:val="left" w:pos="2074"/>
        </w:tabs>
        <w:snapToGrid/>
        <w:spacing w:before="240" w:line="240" w:lineRule="auto"/>
        <w:ind w:left="1454" w:right="835" w:hanging="187"/>
        <w:jc w:val="both"/>
        <w:rPr>
          <w:sz w:val="24"/>
          <w:szCs w:val="24"/>
        </w:rPr>
      </w:pPr>
      <w:r w:rsidRPr="00662BA1">
        <w:rPr>
          <w:sz w:val="24"/>
          <w:szCs w:val="24"/>
        </w:rPr>
        <w:t>“</w:t>
      </w:r>
      <w:r w:rsidRPr="00662BA1">
        <w:rPr>
          <w:sz w:val="24"/>
          <w:szCs w:val="24"/>
        </w:rPr>
        <w:tab/>
      </w:r>
      <w:r w:rsidR="00176C73" w:rsidRPr="00662BA1">
        <w:rPr>
          <w:sz w:val="24"/>
          <w:szCs w:val="24"/>
        </w:rPr>
        <w:t xml:space="preserve">When assessing the whole of the evidence, the judge or jury can give such weight to an </w:t>
      </w:r>
      <w:proofErr w:type="spellStart"/>
      <w:r w:rsidR="00176C73" w:rsidRPr="00662BA1">
        <w:rPr>
          <w:sz w:val="24"/>
          <w:szCs w:val="24"/>
        </w:rPr>
        <w:t>accused’s</w:t>
      </w:r>
      <w:proofErr w:type="spellEnd"/>
      <w:r w:rsidR="00176C73" w:rsidRPr="00662BA1">
        <w:rPr>
          <w:sz w:val="24"/>
          <w:szCs w:val="24"/>
        </w:rPr>
        <w:t xml:space="preserve"> belief, perception or prejudice as s/he believes is warranted.  No doubt, in many cases, that decision maker will entirely discount such evidence of the accused.  Nevertheless, they are “grounds” which stand or fall</w:t>
      </w:r>
      <w:r w:rsidRPr="00662BA1">
        <w:rPr>
          <w:sz w:val="24"/>
          <w:szCs w:val="24"/>
        </w:rPr>
        <w:t xml:space="preserve"> by the test of reasonableness.”</w:t>
      </w:r>
    </w:p>
    <w:p w:rsidR="00FC35F8" w:rsidRPr="00662BA1" w:rsidRDefault="00FC35F8" w:rsidP="00FC35F8">
      <w:pPr>
        <w:pStyle w:val="Final"/>
        <w:tabs>
          <w:tab w:val="clear" w:pos="4320"/>
          <w:tab w:val="clear" w:pos="9072"/>
          <w:tab w:val="left" w:pos="2074"/>
        </w:tabs>
        <w:snapToGrid/>
        <w:spacing w:line="80" w:lineRule="exact"/>
        <w:ind w:left="1454" w:right="835" w:hanging="187"/>
        <w:jc w:val="both"/>
        <w:rPr>
          <w:sz w:val="24"/>
          <w:szCs w:val="24"/>
        </w:rPr>
      </w:pPr>
    </w:p>
    <w:p w:rsidR="00176C73" w:rsidRPr="00662BA1" w:rsidRDefault="00176C73" w:rsidP="00FC35F8">
      <w:pPr>
        <w:pStyle w:val="Final"/>
        <w:tabs>
          <w:tab w:val="clear" w:pos="4320"/>
          <w:tab w:val="clear" w:pos="9072"/>
          <w:tab w:val="left" w:pos="2074"/>
        </w:tabs>
        <w:snapToGrid/>
        <w:spacing w:line="80" w:lineRule="exact"/>
        <w:ind w:left="1454" w:right="835" w:hanging="187"/>
        <w:jc w:val="both"/>
        <w:rPr>
          <w:sz w:val="24"/>
          <w:szCs w:val="24"/>
        </w:rPr>
      </w:pPr>
    </w:p>
    <w:p w:rsidR="00176C73" w:rsidRPr="00662BA1" w:rsidRDefault="00176C73" w:rsidP="00FC35F8">
      <w:pPr>
        <w:pStyle w:val="Final"/>
        <w:tabs>
          <w:tab w:val="clear" w:pos="4320"/>
          <w:tab w:val="clear" w:pos="9072"/>
          <w:tab w:val="left" w:pos="2074"/>
        </w:tabs>
        <w:snapToGrid/>
        <w:spacing w:before="360"/>
        <w:jc w:val="both"/>
        <w:rPr>
          <w:szCs w:val="24"/>
        </w:rPr>
      </w:pPr>
      <w:r w:rsidRPr="00662BA1">
        <w:rPr>
          <w:i/>
          <w:szCs w:val="28"/>
        </w:rPr>
        <w:t>The judge’s analysis</w:t>
      </w:r>
    </w:p>
    <w:p w:rsidR="00176C73" w:rsidRPr="00662BA1" w:rsidRDefault="00052537" w:rsidP="00FC35F8">
      <w:pPr>
        <w:pStyle w:val="Final"/>
        <w:tabs>
          <w:tab w:val="clear" w:pos="4320"/>
          <w:tab w:val="clear" w:pos="9072"/>
        </w:tabs>
        <w:snapToGrid/>
        <w:spacing w:before="360"/>
        <w:jc w:val="both"/>
        <w:rPr>
          <w:szCs w:val="28"/>
        </w:rPr>
      </w:pPr>
      <w:r w:rsidRPr="00662BA1">
        <w:rPr>
          <w:szCs w:val="28"/>
        </w:rPr>
        <w:fldChar w:fldCharType="begin"/>
      </w:r>
      <w:r w:rsidR="00FC35F8" w:rsidRPr="00662BA1">
        <w:rPr>
          <w:szCs w:val="28"/>
        </w:rPr>
        <w:instrText xml:space="preserve"> AUTONUMOUT  </w:instrText>
      </w:r>
      <w:r w:rsidRPr="00662BA1">
        <w:rPr>
          <w:szCs w:val="28"/>
        </w:rPr>
        <w:fldChar w:fldCharType="end"/>
      </w:r>
      <w:r w:rsidR="00FC35F8" w:rsidRPr="00662BA1">
        <w:rPr>
          <w:szCs w:val="28"/>
        </w:rPr>
        <w:tab/>
      </w:r>
      <w:r w:rsidR="00176C73" w:rsidRPr="00662BA1">
        <w:rPr>
          <w:szCs w:val="28"/>
        </w:rPr>
        <w:t xml:space="preserve">As Mr </w:t>
      </w:r>
      <w:proofErr w:type="spellStart"/>
      <w:r w:rsidR="00176C73" w:rsidRPr="00662BA1">
        <w:rPr>
          <w:szCs w:val="28"/>
        </w:rPr>
        <w:t>Caplan</w:t>
      </w:r>
      <w:proofErr w:type="spellEnd"/>
      <w:r w:rsidR="00176C73" w:rsidRPr="00662BA1">
        <w:rPr>
          <w:szCs w:val="28"/>
        </w:rPr>
        <w:t xml:space="preserve"> submitted in his written submissions, it is clear from the judge’s analysis and, in particul</w:t>
      </w:r>
      <w:r w:rsidR="00527B87" w:rsidRPr="00662BA1">
        <w:rPr>
          <w:szCs w:val="28"/>
        </w:rPr>
        <w:t xml:space="preserve">ar, his findings in respect of </w:t>
      </w:r>
      <w:r w:rsidR="00176C73" w:rsidRPr="00662BA1">
        <w:rPr>
          <w:szCs w:val="28"/>
        </w:rPr>
        <w:t>each of the five charges that he followed the same structure, namely:</w:t>
      </w:r>
    </w:p>
    <w:p w:rsidR="00C35916" w:rsidRPr="00662BA1" w:rsidRDefault="00176C73" w:rsidP="00527B87">
      <w:pPr>
        <w:pStyle w:val="Final"/>
        <w:numPr>
          <w:ilvl w:val="0"/>
          <w:numId w:val="4"/>
        </w:numPr>
        <w:tabs>
          <w:tab w:val="clear" w:pos="4320"/>
          <w:tab w:val="clear" w:pos="9072"/>
        </w:tabs>
        <w:spacing w:before="120" w:line="480" w:lineRule="exact"/>
        <w:ind w:left="1440"/>
        <w:jc w:val="both"/>
        <w:rPr>
          <w:szCs w:val="28"/>
        </w:rPr>
      </w:pPr>
      <w:r w:rsidRPr="00662BA1">
        <w:rPr>
          <w:szCs w:val="28"/>
        </w:rPr>
        <w:t>what was known to the applicant;</w:t>
      </w:r>
    </w:p>
    <w:p w:rsidR="00C35916" w:rsidRDefault="00C35916" w:rsidP="00C35916">
      <w:pPr>
        <w:pStyle w:val="Final"/>
        <w:tabs>
          <w:tab w:val="clear" w:pos="4320"/>
          <w:tab w:val="clear" w:pos="9072"/>
        </w:tabs>
        <w:snapToGrid/>
        <w:spacing w:line="80" w:lineRule="exact"/>
        <w:ind w:left="1267" w:right="835"/>
        <w:jc w:val="both"/>
        <w:rPr>
          <w:szCs w:val="28"/>
        </w:rPr>
      </w:pPr>
    </w:p>
    <w:p w:rsidR="00176C73" w:rsidRPr="00662BA1" w:rsidRDefault="00176C73" w:rsidP="00C35916">
      <w:pPr>
        <w:pStyle w:val="Final"/>
        <w:tabs>
          <w:tab w:val="clear" w:pos="4320"/>
          <w:tab w:val="clear" w:pos="9072"/>
        </w:tabs>
        <w:snapToGrid/>
        <w:spacing w:line="80" w:lineRule="exact"/>
        <w:ind w:left="1454" w:right="835" w:hanging="187"/>
        <w:jc w:val="both"/>
        <w:rPr>
          <w:szCs w:val="28"/>
        </w:rPr>
      </w:pPr>
    </w:p>
    <w:p w:rsidR="00C35916" w:rsidRPr="00662BA1" w:rsidRDefault="00CC33BB" w:rsidP="00C35916">
      <w:pPr>
        <w:pStyle w:val="Final"/>
        <w:numPr>
          <w:ilvl w:val="0"/>
          <w:numId w:val="4"/>
        </w:numPr>
        <w:tabs>
          <w:tab w:val="clear" w:pos="4320"/>
          <w:tab w:val="clear" w:pos="9072"/>
        </w:tabs>
        <w:spacing w:before="120"/>
        <w:ind w:left="1440"/>
        <w:jc w:val="both"/>
        <w:rPr>
          <w:szCs w:val="28"/>
        </w:rPr>
      </w:pPr>
      <w:r>
        <w:rPr>
          <w:szCs w:val="28"/>
        </w:rPr>
        <w:t>whether</w:t>
      </w:r>
      <w:r w:rsidR="00176C73" w:rsidRPr="00662BA1">
        <w:rPr>
          <w:szCs w:val="28"/>
        </w:rPr>
        <w:t xml:space="preserve">, in all the circumstances, a right-thinking member of the community would consider there were reasonable grounds to believe that the monies </w:t>
      </w:r>
      <w:r w:rsidR="000D4EAC">
        <w:rPr>
          <w:szCs w:val="28"/>
        </w:rPr>
        <w:t>were</w:t>
      </w:r>
      <w:r w:rsidR="00176C73" w:rsidRPr="00662BA1">
        <w:rPr>
          <w:szCs w:val="28"/>
        </w:rPr>
        <w:t xml:space="preserve"> the proceeds of an indictable offence; and</w:t>
      </w:r>
    </w:p>
    <w:p w:rsidR="00C35916" w:rsidRPr="00662BA1" w:rsidRDefault="00C35916" w:rsidP="00C35916">
      <w:pPr>
        <w:pStyle w:val="Final"/>
        <w:tabs>
          <w:tab w:val="clear" w:pos="4320"/>
          <w:tab w:val="clear" w:pos="9072"/>
        </w:tabs>
        <w:snapToGrid/>
        <w:spacing w:line="80" w:lineRule="exact"/>
        <w:ind w:left="1267" w:right="835"/>
        <w:jc w:val="both"/>
        <w:rPr>
          <w:szCs w:val="28"/>
        </w:rPr>
      </w:pPr>
    </w:p>
    <w:p w:rsidR="00176C73" w:rsidRPr="00662BA1" w:rsidRDefault="00176C73" w:rsidP="00C35916">
      <w:pPr>
        <w:pStyle w:val="Final"/>
        <w:tabs>
          <w:tab w:val="clear" w:pos="4320"/>
          <w:tab w:val="clear" w:pos="9072"/>
        </w:tabs>
        <w:snapToGrid/>
        <w:spacing w:line="80" w:lineRule="exact"/>
        <w:ind w:left="1267" w:right="835"/>
        <w:jc w:val="both"/>
        <w:rPr>
          <w:szCs w:val="28"/>
        </w:rPr>
      </w:pPr>
    </w:p>
    <w:p w:rsidR="00527B87" w:rsidRPr="00662BA1" w:rsidRDefault="00176C73" w:rsidP="00C35916">
      <w:pPr>
        <w:pStyle w:val="Final"/>
        <w:numPr>
          <w:ilvl w:val="0"/>
          <w:numId w:val="4"/>
        </w:numPr>
        <w:tabs>
          <w:tab w:val="clear" w:pos="4320"/>
          <w:tab w:val="clear" w:pos="9072"/>
        </w:tabs>
        <w:spacing w:before="120"/>
        <w:ind w:left="1440"/>
        <w:jc w:val="both"/>
        <w:rPr>
          <w:szCs w:val="28"/>
        </w:rPr>
      </w:pPr>
      <w:proofErr w:type="gramStart"/>
      <w:r w:rsidRPr="00662BA1">
        <w:rPr>
          <w:szCs w:val="28"/>
        </w:rPr>
        <w:t>whether</w:t>
      </w:r>
      <w:proofErr w:type="gramEnd"/>
      <w:r w:rsidRPr="00662BA1">
        <w:rPr>
          <w:szCs w:val="28"/>
        </w:rPr>
        <w:t xml:space="preserve"> the applicant had such reasonable grounds to believe.</w:t>
      </w:r>
    </w:p>
    <w:p w:rsidR="00176C73" w:rsidRPr="00662BA1" w:rsidRDefault="00176C73" w:rsidP="00527B87">
      <w:pPr>
        <w:pStyle w:val="Final"/>
        <w:tabs>
          <w:tab w:val="clear" w:pos="4320"/>
          <w:tab w:val="clear" w:pos="9072"/>
        </w:tabs>
        <w:snapToGrid/>
        <w:spacing w:line="80" w:lineRule="exact"/>
        <w:ind w:left="1454" w:right="835" w:hanging="187"/>
        <w:jc w:val="both"/>
        <w:rPr>
          <w:szCs w:val="28"/>
        </w:rPr>
      </w:pPr>
    </w:p>
    <w:p w:rsidR="00176C73" w:rsidRPr="00662BA1" w:rsidRDefault="00052537" w:rsidP="00527B87">
      <w:pPr>
        <w:pStyle w:val="Final"/>
        <w:tabs>
          <w:tab w:val="clear" w:pos="4320"/>
          <w:tab w:val="clear" w:pos="9072"/>
        </w:tabs>
        <w:snapToGrid/>
        <w:spacing w:before="360"/>
        <w:jc w:val="both"/>
        <w:rPr>
          <w:szCs w:val="28"/>
        </w:rPr>
      </w:pPr>
      <w:r w:rsidRPr="00662BA1">
        <w:rPr>
          <w:szCs w:val="28"/>
        </w:rPr>
        <w:fldChar w:fldCharType="begin"/>
      </w:r>
      <w:r w:rsidR="00527B87" w:rsidRPr="00662BA1">
        <w:rPr>
          <w:szCs w:val="28"/>
        </w:rPr>
        <w:instrText xml:space="preserve"> AUTONUMOUT  </w:instrText>
      </w:r>
      <w:r w:rsidRPr="00662BA1">
        <w:rPr>
          <w:szCs w:val="28"/>
        </w:rPr>
        <w:fldChar w:fldCharType="end"/>
      </w:r>
      <w:r w:rsidR="00527B87" w:rsidRPr="00662BA1">
        <w:rPr>
          <w:szCs w:val="28"/>
        </w:rPr>
        <w:tab/>
      </w:r>
      <w:r w:rsidR="00176C73" w:rsidRPr="00662BA1">
        <w:rPr>
          <w:szCs w:val="28"/>
        </w:rPr>
        <w:t>For example, in respect of Charge 1 the judge determined:</w:t>
      </w:r>
      <w:r w:rsidR="00176C73" w:rsidRPr="00662BA1">
        <w:rPr>
          <w:rStyle w:val="FootnoteReference"/>
          <w:szCs w:val="28"/>
        </w:rPr>
        <w:footnoteReference w:id="114"/>
      </w:r>
    </w:p>
    <w:p w:rsidR="00864D5A" w:rsidRPr="00662BA1" w:rsidRDefault="00527B87" w:rsidP="00864D5A">
      <w:pPr>
        <w:pStyle w:val="ListParagraph"/>
        <w:tabs>
          <w:tab w:val="clear" w:pos="4320"/>
          <w:tab w:val="clear" w:pos="9072"/>
        </w:tabs>
        <w:snapToGrid/>
        <w:spacing w:before="240"/>
        <w:ind w:left="1440" w:right="749" w:hanging="187"/>
        <w:contextualSpacing w:val="0"/>
        <w:jc w:val="both"/>
        <w:rPr>
          <w:i/>
          <w:sz w:val="24"/>
          <w:szCs w:val="24"/>
        </w:rPr>
      </w:pPr>
      <w:r w:rsidRPr="00662BA1">
        <w:rPr>
          <w:sz w:val="24"/>
          <w:szCs w:val="24"/>
        </w:rPr>
        <w:t>“</w:t>
      </w:r>
      <w:r w:rsidRPr="00662BA1">
        <w:rPr>
          <w:sz w:val="24"/>
          <w:szCs w:val="24"/>
        </w:rPr>
        <w:tab/>
      </w:r>
      <w:r w:rsidR="00176C73" w:rsidRPr="00662BA1">
        <w:rPr>
          <w:sz w:val="24"/>
          <w:szCs w:val="24"/>
        </w:rPr>
        <w:t>I find that the defendant was aware of all the transactions in relation to account A.</w:t>
      </w:r>
      <w:r w:rsidRPr="00662BA1">
        <w:rPr>
          <w:sz w:val="24"/>
          <w:szCs w:val="24"/>
        </w:rPr>
        <w:t xml:space="preserve"> </w:t>
      </w:r>
      <w:r w:rsidR="00176C73" w:rsidRPr="00662BA1">
        <w:rPr>
          <w:sz w:val="24"/>
          <w:szCs w:val="24"/>
        </w:rPr>
        <w:t xml:space="preserve"> I find that the defendant himself knew that dealings in cash transactions would be more difficult to trace than those by way of checks.</w:t>
      </w:r>
      <w:r w:rsidRPr="00662BA1">
        <w:rPr>
          <w:sz w:val="24"/>
          <w:szCs w:val="24"/>
        </w:rPr>
        <w:t xml:space="preserve"> </w:t>
      </w:r>
      <w:r w:rsidR="00176C73" w:rsidRPr="00662BA1">
        <w:rPr>
          <w:sz w:val="24"/>
          <w:szCs w:val="24"/>
        </w:rPr>
        <w:t xml:space="preserve"> I find that there were no cash generating business that would generate the kind of cash that was deposited into account A. </w:t>
      </w:r>
      <w:r w:rsidRPr="00662BA1">
        <w:rPr>
          <w:sz w:val="24"/>
          <w:szCs w:val="24"/>
        </w:rPr>
        <w:t xml:space="preserve"> </w:t>
      </w:r>
      <w:r w:rsidR="00176C73" w:rsidRPr="00662BA1">
        <w:rPr>
          <w:sz w:val="24"/>
          <w:szCs w:val="24"/>
        </w:rPr>
        <w:t>I find that the overall almost identical amount of deposits and withdrawals in the account shows that the account had been used as a repository of funds.</w:t>
      </w:r>
      <w:r w:rsidRPr="00662BA1">
        <w:rPr>
          <w:sz w:val="24"/>
          <w:szCs w:val="24"/>
        </w:rPr>
        <w:t xml:space="preserve"> </w:t>
      </w:r>
      <w:r w:rsidR="00176C73" w:rsidRPr="00662BA1">
        <w:rPr>
          <w:sz w:val="24"/>
          <w:szCs w:val="24"/>
        </w:rPr>
        <w:t xml:space="preserve"> I find that for the reasons already given above, the deposits from SJM were not the defendant’s gambling winnings.</w:t>
      </w:r>
      <w:r w:rsidRPr="00662BA1">
        <w:rPr>
          <w:sz w:val="24"/>
          <w:szCs w:val="24"/>
        </w:rPr>
        <w:t xml:space="preserve"> </w:t>
      </w:r>
      <w:r w:rsidR="00176C73" w:rsidRPr="00662BA1">
        <w:rPr>
          <w:sz w:val="24"/>
          <w:szCs w:val="24"/>
        </w:rPr>
        <w:t xml:space="preserve"> I find that the dealings in the Gold </w:t>
      </w:r>
      <w:proofErr w:type="spellStart"/>
      <w:r w:rsidR="00176C73" w:rsidRPr="00662BA1">
        <w:rPr>
          <w:sz w:val="24"/>
          <w:szCs w:val="24"/>
        </w:rPr>
        <w:t>Wo</w:t>
      </w:r>
      <w:proofErr w:type="spellEnd"/>
      <w:r w:rsidR="00176C73" w:rsidRPr="00662BA1">
        <w:rPr>
          <w:sz w:val="24"/>
          <w:szCs w:val="24"/>
        </w:rPr>
        <w:t xml:space="preserve"> shares, for reasons given above was arranged so as to conceal the involvement of Ms. Yu Xiao Mei. </w:t>
      </w:r>
      <w:r w:rsidRPr="00662BA1">
        <w:rPr>
          <w:sz w:val="24"/>
          <w:szCs w:val="24"/>
        </w:rPr>
        <w:t xml:space="preserve"> </w:t>
      </w:r>
      <w:r w:rsidR="00176C73" w:rsidRPr="00662BA1">
        <w:rPr>
          <w:i/>
          <w:sz w:val="24"/>
          <w:szCs w:val="24"/>
        </w:rPr>
        <w:t>These are all facts known to the defendant at the material times.</w:t>
      </w:r>
    </w:p>
    <w:p w:rsidR="00DF729B" w:rsidRPr="00662BA1" w:rsidRDefault="00176C73" w:rsidP="00864D5A">
      <w:pPr>
        <w:pStyle w:val="ListParagraph"/>
        <w:tabs>
          <w:tab w:val="clear" w:pos="4320"/>
          <w:tab w:val="clear" w:pos="9072"/>
        </w:tabs>
        <w:snapToGrid/>
        <w:spacing w:before="240"/>
        <w:ind w:left="1440" w:right="749"/>
        <w:contextualSpacing w:val="0"/>
        <w:jc w:val="both"/>
        <w:rPr>
          <w:sz w:val="24"/>
          <w:szCs w:val="24"/>
        </w:rPr>
      </w:pPr>
      <w:r w:rsidRPr="00662BA1">
        <w:rPr>
          <w:i/>
          <w:sz w:val="24"/>
          <w:szCs w:val="24"/>
        </w:rPr>
        <w:t>I find that</w:t>
      </w:r>
      <w:r w:rsidRPr="00662BA1">
        <w:rPr>
          <w:sz w:val="24"/>
          <w:szCs w:val="24"/>
        </w:rPr>
        <w:t xml:space="preserve"> </w:t>
      </w:r>
      <w:r w:rsidRPr="00662BA1">
        <w:rPr>
          <w:i/>
          <w:sz w:val="24"/>
          <w:szCs w:val="24"/>
        </w:rPr>
        <w:t>a right thinking member of the community</w:t>
      </w:r>
      <w:r w:rsidRPr="00662BA1">
        <w:rPr>
          <w:sz w:val="24"/>
          <w:szCs w:val="24"/>
        </w:rPr>
        <w:t xml:space="preserve"> when looking at the movement of funds in account A and all the surrounding circumstances mentioned above </w:t>
      </w:r>
      <w:r w:rsidRPr="00662BA1">
        <w:rPr>
          <w:i/>
          <w:sz w:val="24"/>
          <w:szCs w:val="24"/>
        </w:rPr>
        <w:t>would have reasonable grounds to believe</w:t>
      </w:r>
      <w:r w:rsidRPr="00662BA1">
        <w:rPr>
          <w:sz w:val="24"/>
          <w:szCs w:val="24"/>
        </w:rPr>
        <w:t xml:space="preserve"> that the money being dealt with through the account represented wholly or in part, directly or indirectly proceeds of an indictable offence. </w:t>
      </w:r>
      <w:r w:rsidR="00527B87" w:rsidRPr="00662BA1">
        <w:rPr>
          <w:sz w:val="24"/>
          <w:szCs w:val="24"/>
        </w:rPr>
        <w:t xml:space="preserve"> </w:t>
      </w:r>
      <w:r w:rsidRPr="00662BA1">
        <w:rPr>
          <w:i/>
          <w:sz w:val="24"/>
          <w:szCs w:val="24"/>
        </w:rPr>
        <w:t>I therefore find that the</w:t>
      </w:r>
      <w:r w:rsidRPr="00662BA1">
        <w:rPr>
          <w:sz w:val="24"/>
          <w:szCs w:val="24"/>
        </w:rPr>
        <w:t xml:space="preserve"> </w:t>
      </w:r>
      <w:r w:rsidRPr="00662BA1">
        <w:rPr>
          <w:i/>
          <w:sz w:val="24"/>
          <w:szCs w:val="24"/>
        </w:rPr>
        <w:t xml:space="preserve">defendant had reasonable grounds also to so believe </w:t>
      </w:r>
      <w:r w:rsidRPr="00662BA1">
        <w:rPr>
          <w:sz w:val="24"/>
          <w:szCs w:val="24"/>
        </w:rPr>
        <w:t>and I convict him of charge</w:t>
      </w:r>
      <w:r w:rsidR="00527B87" w:rsidRPr="00662BA1">
        <w:rPr>
          <w:sz w:val="24"/>
          <w:szCs w:val="24"/>
        </w:rPr>
        <w:t xml:space="preserve"> 1 accordingly.”  [</w:t>
      </w:r>
      <w:r w:rsidRPr="00662BA1">
        <w:rPr>
          <w:sz w:val="24"/>
          <w:szCs w:val="24"/>
        </w:rPr>
        <w:t>Italics added.]</w:t>
      </w:r>
    </w:p>
    <w:p w:rsidR="00DF729B" w:rsidRPr="00662BA1" w:rsidRDefault="00DF729B" w:rsidP="00DF729B">
      <w:pPr>
        <w:pStyle w:val="ListParagraph"/>
        <w:tabs>
          <w:tab w:val="clear" w:pos="4320"/>
          <w:tab w:val="clear" w:pos="9072"/>
        </w:tabs>
        <w:snapToGrid/>
        <w:spacing w:line="80" w:lineRule="exact"/>
        <w:ind w:left="1454" w:right="835" w:hanging="187"/>
        <w:jc w:val="both"/>
        <w:rPr>
          <w:sz w:val="24"/>
          <w:szCs w:val="24"/>
        </w:rPr>
      </w:pPr>
    </w:p>
    <w:p w:rsidR="00DF729B" w:rsidRPr="00662BA1" w:rsidRDefault="00DF729B" w:rsidP="00DF729B">
      <w:pPr>
        <w:pStyle w:val="ListParagraph"/>
        <w:tabs>
          <w:tab w:val="clear" w:pos="4320"/>
          <w:tab w:val="clear" w:pos="9072"/>
        </w:tabs>
        <w:snapToGrid/>
        <w:spacing w:line="80" w:lineRule="exact"/>
        <w:ind w:left="1454" w:right="835" w:hanging="187"/>
        <w:jc w:val="both"/>
        <w:rPr>
          <w:sz w:val="24"/>
          <w:szCs w:val="24"/>
        </w:rPr>
      </w:pPr>
    </w:p>
    <w:p w:rsidR="00176C73" w:rsidRPr="00662BA1" w:rsidRDefault="00176C73" w:rsidP="00DF729B">
      <w:pPr>
        <w:pStyle w:val="ListParagraph"/>
        <w:tabs>
          <w:tab w:val="clear" w:pos="4320"/>
          <w:tab w:val="clear" w:pos="9072"/>
        </w:tabs>
        <w:snapToGrid/>
        <w:spacing w:before="360" w:line="360" w:lineRule="auto"/>
        <w:ind w:left="0"/>
        <w:contextualSpacing w:val="0"/>
        <w:jc w:val="both"/>
        <w:rPr>
          <w:i/>
          <w:szCs w:val="24"/>
        </w:rPr>
      </w:pPr>
      <w:r w:rsidRPr="00662BA1">
        <w:rPr>
          <w:i/>
          <w:szCs w:val="28"/>
        </w:rPr>
        <w:t>Charges 2-5</w:t>
      </w:r>
    </w:p>
    <w:p w:rsidR="00864D5A" w:rsidRPr="00662BA1" w:rsidRDefault="00052537" w:rsidP="00864D5A">
      <w:pPr>
        <w:pStyle w:val="ListParagraph"/>
        <w:tabs>
          <w:tab w:val="clear" w:pos="4320"/>
          <w:tab w:val="clear" w:pos="9072"/>
        </w:tabs>
        <w:snapToGrid/>
        <w:spacing w:before="360" w:line="360" w:lineRule="auto"/>
        <w:ind w:left="0"/>
        <w:contextualSpacing w:val="0"/>
        <w:jc w:val="both"/>
        <w:rPr>
          <w:szCs w:val="28"/>
        </w:rPr>
      </w:pPr>
      <w:r w:rsidRPr="00662BA1">
        <w:rPr>
          <w:szCs w:val="28"/>
        </w:rPr>
        <w:fldChar w:fldCharType="begin"/>
      </w:r>
      <w:r w:rsidR="00864D5A" w:rsidRPr="00662BA1">
        <w:rPr>
          <w:szCs w:val="28"/>
        </w:rPr>
        <w:instrText xml:space="preserve"> AUTONUMOUT  </w:instrText>
      </w:r>
      <w:r w:rsidRPr="00662BA1">
        <w:rPr>
          <w:szCs w:val="28"/>
        </w:rPr>
        <w:fldChar w:fldCharType="end"/>
      </w:r>
      <w:r w:rsidR="00864D5A" w:rsidRPr="00662BA1">
        <w:rPr>
          <w:szCs w:val="28"/>
        </w:rPr>
        <w:tab/>
      </w:r>
      <w:r w:rsidR="00176C73" w:rsidRPr="00662BA1">
        <w:rPr>
          <w:szCs w:val="28"/>
        </w:rPr>
        <w:t xml:space="preserve">Having found the applicant knew of the transactions in the three </w:t>
      </w:r>
      <w:r w:rsidR="00E36417">
        <w:rPr>
          <w:szCs w:val="28"/>
        </w:rPr>
        <w:t>bank accounts in his own name (C</w:t>
      </w:r>
      <w:r w:rsidR="00176C73" w:rsidRPr="00662BA1">
        <w:rPr>
          <w:szCs w:val="28"/>
        </w:rPr>
        <w:t>harges 1-3) and that he dea</w:t>
      </w:r>
      <w:r w:rsidR="00864D5A" w:rsidRPr="00662BA1">
        <w:rPr>
          <w:szCs w:val="28"/>
        </w:rPr>
        <w:t>lt with the money in his father’</w:t>
      </w:r>
      <w:r w:rsidR="00176C73" w:rsidRPr="00662BA1">
        <w:rPr>
          <w:szCs w:val="28"/>
        </w:rPr>
        <w:t>s bank accounts, the judge determined, in respect of the impugned deposits which he stipulated, that a right-thinking member of the community would have reasonable grounds to believe that those monies were the proceeds of an indictable offence.</w:t>
      </w:r>
      <w:r w:rsidR="00864D5A" w:rsidRPr="00662BA1">
        <w:rPr>
          <w:szCs w:val="28"/>
        </w:rPr>
        <w:t xml:space="preserve"> </w:t>
      </w:r>
      <w:r w:rsidR="00176C73" w:rsidRPr="00662BA1">
        <w:rPr>
          <w:szCs w:val="28"/>
        </w:rPr>
        <w:t xml:space="preserve"> Then, he found that the applicant had such reasonable grounds to so believe.</w:t>
      </w:r>
      <w:r w:rsidR="00176C73" w:rsidRPr="00662BA1">
        <w:rPr>
          <w:rStyle w:val="FootnoteReference"/>
          <w:szCs w:val="28"/>
        </w:rPr>
        <w:footnoteReference w:id="115"/>
      </w:r>
    </w:p>
    <w:p w:rsidR="00176C73" w:rsidRPr="00662BA1" w:rsidRDefault="00176C73" w:rsidP="00864D5A">
      <w:pPr>
        <w:pStyle w:val="ListParagraph"/>
        <w:tabs>
          <w:tab w:val="clear" w:pos="4320"/>
          <w:tab w:val="clear" w:pos="9072"/>
        </w:tabs>
        <w:snapToGrid/>
        <w:spacing w:before="360" w:line="360" w:lineRule="auto"/>
        <w:ind w:left="0"/>
        <w:contextualSpacing w:val="0"/>
        <w:jc w:val="both"/>
        <w:rPr>
          <w:i/>
          <w:szCs w:val="28"/>
        </w:rPr>
      </w:pPr>
      <w:r w:rsidRPr="00662BA1">
        <w:rPr>
          <w:i/>
          <w:szCs w:val="28"/>
        </w:rPr>
        <w:t>The applicant’s testimony: the judge’s analysis and findings</w:t>
      </w:r>
    </w:p>
    <w:p w:rsidR="00864D5A" w:rsidRPr="00662BA1" w:rsidRDefault="00052537" w:rsidP="00864D5A">
      <w:pPr>
        <w:pStyle w:val="Final"/>
        <w:tabs>
          <w:tab w:val="clear" w:pos="4320"/>
          <w:tab w:val="clear" w:pos="9072"/>
        </w:tabs>
        <w:snapToGrid/>
        <w:spacing w:before="360"/>
        <w:jc w:val="both"/>
        <w:rPr>
          <w:szCs w:val="28"/>
        </w:rPr>
      </w:pPr>
      <w:r w:rsidRPr="00662BA1">
        <w:rPr>
          <w:szCs w:val="28"/>
        </w:rPr>
        <w:fldChar w:fldCharType="begin"/>
      </w:r>
      <w:r w:rsidR="00864D5A" w:rsidRPr="00662BA1">
        <w:rPr>
          <w:szCs w:val="28"/>
        </w:rPr>
        <w:instrText xml:space="preserve"> AUTONUMOUT  </w:instrText>
      </w:r>
      <w:r w:rsidRPr="00662BA1">
        <w:rPr>
          <w:szCs w:val="28"/>
        </w:rPr>
        <w:fldChar w:fldCharType="end"/>
      </w:r>
      <w:r w:rsidR="00864D5A" w:rsidRPr="00662BA1">
        <w:rPr>
          <w:szCs w:val="28"/>
        </w:rPr>
        <w:tab/>
      </w:r>
      <w:r w:rsidR="00176C73" w:rsidRPr="00662BA1">
        <w:rPr>
          <w:szCs w:val="28"/>
        </w:rPr>
        <w:t>What the judge de</w:t>
      </w:r>
      <w:r w:rsidR="00864D5A" w:rsidRPr="00662BA1">
        <w:rPr>
          <w:szCs w:val="28"/>
        </w:rPr>
        <w:t>scribed as being ‘The defendant’</w:t>
      </w:r>
      <w:r w:rsidR="00176C73" w:rsidRPr="00662BA1">
        <w:rPr>
          <w:szCs w:val="28"/>
        </w:rPr>
        <w:t xml:space="preserve">s case and summaries of evidence’ encompassed paragraphs 71 to 546 of the 669 paragraphs of the Reasons for Verdict. </w:t>
      </w:r>
      <w:r w:rsidR="00864D5A" w:rsidRPr="00662BA1">
        <w:rPr>
          <w:szCs w:val="28"/>
        </w:rPr>
        <w:t xml:space="preserve"> Paragraphs </w:t>
      </w:r>
      <w:r w:rsidR="00176C73" w:rsidRPr="00662BA1">
        <w:rPr>
          <w:szCs w:val="28"/>
        </w:rPr>
        <w:t xml:space="preserve">211 to 546 addressed the testimony of the applicant. </w:t>
      </w:r>
      <w:r w:rsidR="00864D5A" w:rsidRPr="00662BA1">
        <w:rPr>
          <w:szCs w:val="28"/>
        </w:rPr>
        <w:t xml:space="preserve"> </w:t>
      </w:r>
      <w:r w:rsidR="00176C73" w:rsidRPr="00662BA1">
        <w:rPr>
          <w:szCs w:val="28"/>
        </w:rPr>
        <w:t>Whilst the judge</w:t>
      </w:r>
      <w:r w:rsidR="00864D5A" w:rsidRPr="00662BA1">
        <w:rPr>
          <w:szCs w:val="28"/>
        </w:rPr>
        <w:t xml:space="preserve"> accepted some of the applicant’</w:t>
      </w:r>
      <w:r w:rsidR="00176C73" w:rsidRPr="00662BA1">
        <w:rPr>
          <w:szCs w:val="28"/>
        </w:rPr>
        <w:t xml:space="preserve">s testimony, nevertheless he made multiple findings that the applicant was lying or not telling the truth. </w:t>
      </w:r>
      <w:r w:rsidR="00864D5A" w:rsidRPr="00662BA1">
        <w:rPr>
          <w:szCs w:val="28"/>
        </w:rPr>
        <w:t xml:space="preserve"> </w:t>
      </w:r>
      <w:r w:rsidR="00176C73" w:rsidRPr="00662BA1">
        <w:rPr>
          <w:szCs w:val="28"/>
        </w:rPr>
        <w:t>Further, he considered the applicant’s asserted beliefs and, in particular, the reasonableness of such beliefs</w:t>
      </w:r>
      <w:r w:rsidR="00864D5A" w:rsidRPr="00662BA1">
        <w:rPr>
          <w:szCs w:val="28"/>
        </w:rPr>
        <w:t>.</w:t>
      </w:r>
    </w:p>
    <w:p w:rsidR="00176C73" w:rsidRPr="00662BA1" w:rsidRDefault="00052537" w:rsidP="00864D5A">
      <w:pPr>
        <w:pStyle w:val="Final"/>
        <w:tabs>
          <w:tab w:val="clear" w:pos="4320"/>
          <w:tab w:val="clear" w:pos="9072"/>
        </w:tabs>
        <w:snapToGrid/>
        <w:spacing w:before="360"/>
        <w:jc w:val="both"/>
        <w:rPr>
          <w:szCs w:val="28"/>
        </w:rPr>
      </w:pPr>
      <w:r w:rsidRPr="00662BA1">
        <w:rPr>
          <w:szCs w:val="28"/>
        </w:rPr>
        <w:fldChar w:fldCharType="begin"/>
      </w:r>
      <w:r w:rsidR="00864D5A" w:rsidRPr="00662BA1">
        <w:rPr>
          <w:szCs w:val="28"/>
        </w:rPr>
        <w:instrText xml:space="preserve"> AUTONUMOUT  </w:instrText>
      </w:r>
      <w:r w:rsidRPr="00662BA1">
        <w:rPr>
          <w:szCs w:val="28"/>
        </w:rPr>
        <w:fldChar w:fldCharType="end"/>
      </w:r>
      <w:r w:rsidR="00864D5A" w:rsidRPr="00662BA1">
        <w:rPr>
          <w:szCs w:val="28"/>
        </w:rPr>
        <w:tab/>
      </w:r>
      <w:r w:rsidR="00176C73" w:rsidRPr="00662BA1">
        <w:rPr>
          <w:szCs w:val="28"/>
        </w:rPr>
        <w:t>At an early stage of his ‘Findings’ the judge said:</w:t>
      </w:r>
      <w:r w:rsidR="00176C73" w:rsidRPr="00662BA1">
        <w:rPr>
          <w:rStyle w:val="FootnoteReference"/>
          <w:szCs w:val="28"/>
        </w:rPr>
        <w:footnoteReference w:id="116"/>
      </w:r>
    </w:p>
    <w:p w:rsidR="00864D5A" w:rsidRPr="00662BA1" w:rsidRDefault="00864D5A" w:rsidP="00864D5A">
      <w:pPr>
        <w:pStyle w:val="Final"/>
        <w:tabs>
          <w:tab w:val="clear" w:pos="4320"/>
          <w:tab w:val="clear" w:pos="9072"/>
          <w:tab w:val="left" w:pos="2074"/>
        </w:tabs>
        <w:snapToGrid/>
        <w:spacing w:before="240" w:line="240" w:lineRule="auto"/>
        <w:ind w:left="1454" w:right="835" w:hanging="187"/>
        <w:jc w:val="both"/>
        <w:rPr>
          <w:sz w:val="24"/>
          <w:szCs w:val="24"/>
        </w:rPr>
      </w:pPr>
      <w:r w:rsidRPr="00662BA1">
        <w:rPr>
          <w:sz w:val="24"/>
          <w:szCs w:val="24"/>
        </w:rPr>
        <w:t>“</w:t>
      </w:r>
      <w:r w:rsidRPr="00662BA1">
        <w:rPr>
          <w:sz w:val="24"/>
          <w:szCs w:val="24"/>
        </w:rPr>
        <w:tab/>
      </w:r>
      <w:r w:rsidR="00176C73" w:rsidRPr="00662BA1">
        <w:rPr>
          <w:sz w:val="24"/>
          <w:szCs w:val="24"/>
        </w:rPr>
        <w:t xml:space="preserve">I find the defendant not a witness of truth. </w:t>
      </w:r>
      <w:r w:rsidRPr="00662BA1">
        <w:rPr>
          <w:sz w:val="24"/>
          <w:szCs w:val="24"/>
        </w:rPr>
        <w:t xml:space="preserve"> </w:t>
      </w:r>
      <w:r w:rsidR="00176C73" w:rsidRPr="00662BA1">
        <w:rPr>
          <w:sz w:val="24"/>
          <w:szCs w:val="24"/>
        </w:rPr>
        <w:t>I find that he is someone who is prepared to, and did try to, lie whe</w:t>
      </w:r>
      <w:r w:rsidRPr="00662BA1">
        <w:rPr>
          <w:sz w:val="24"/>
          <w:szCs w:val="24"/>
        </w:rPr>
        <w:t>never he saw the need to do so.”</w:t>
      </w:r>
    </w:p>
    <w:p w:rsidR="00864D5A" w:rsidRPr="00662BA1" w:rsidRDefault="00864D5A" w:rsidP="00864D5A">
      <w:pPr>
        <w:pStyle w:val="Final"/>
        <w:tabs>
          <w:tab w:val="clear" w:pos="4320"/>
          <w:tab w:val="clear" w:pos="9072"/>
          <w:tab w:val="left" w:pos="2074"/>
        </w:tabs>
        <w:snapToGrid/>
        <w:spacing w:line="80" w:lineRule="exact"/>
        <w:ind w:left="1454" w:right="835" w:hanging="187"/>
        <w:jc w:val="both"/>
        <w:rPr>
          <w:sz w:val="24"/>
          <w:szCs w:val="24"/>
        </w:rPr>
      </w:pPr>
    </w:p>
    <w:p w:rsidR="00176C73" w:rsidRPr="00662BA1" w:rsidRDefault="00176C73" w:rsidP="00864D5A">
      <w:pPr>
        <w:pStyle w:val="Final"/>
        <w:tabs>
          <w:tab w:val="clear" w:pos="4320"/>
          <w:tab w:val="clear" w:pos="9072"/>
          <w:tab w:val="left" w:pos="2074"/>
        </w:tabs>
        <w:snapToGrid/>
        <w:spacing w:line="80" w:lineRule="exact"/>
        <w:ind w:left="1454" w:right="835" w:hanging="187"/>
        <w:jc w:val="both"/>
        <w:rPr>
          <w:sz w:val="24"/>
          <w:szCs w:val="24"/>
        </w:rPr>
      </w:pPr>
    </w:p>
    <w:p w:rsidR="00142776" w:rsidRPr="00662BA1" w:rsidRDefault="00052537" w:rsidP="00142776">
      <w:pPr>
        <w:pStyle w:val="Final"/>
        <w:tabs>
          <w:tab w:val="clear" w:pos="4320"/>
          <w:tab w:val="clear" w:pos="9072"/>
          <w:tab w:val="left" w:pos="2074"/>
        </w:tabs>
        <w:snapToGrid/>
        <w:spacing w:before="360"/>
        <w:jc w:val="both"/>
        <w:rPr>
          <w:szCs w:val="28"/>
        </w:rPr>
      </w:pPr>
      <w:r w:rsidRPr="00662BA1">
        <w:rPr>
          <w:szCs w:val="24"/>
        </w:rPr>
        <w:fldChar w:fldCharType="begin"/>
      </w:r>
      <w:r w:rsidR="00864D5A" w:rsidRPr="00662BA1">
        <w:rPr>
          <w:szCs w:val="24"/>
        </w:rPr>
        <w:instrText xml:space="preserve"> AUTONUMOUT  </w:instrText>
      </w:r>
      <w:r w:rsidRPr="00662BA1">
        <w:rPr>
          <w:szCs w:val="24"/>
        </w:rPr>
        <w:fldChar w:fldCharType="end"/>
      </w:r>
      <w:r w:rsidR="00864D5A" w:rsidRPr="00662BA1">
        <w:rPr>
          <w:szCs w:val="24"/>
        </w:rPr>
        <w:tab/>
      </w:r>
      <w:r w:rsidR="00864D5A" w:rsidRPr="00662BA1">
        <w:rPr>
          <w:szCs w:val="28"/>
        </w:rPr>
        <w:t>Of the applicant’</w:t>
      </w:r>
      <w:r w:rsidR="00176C73" w:rsidRPr="00662BA1">
        <w:rPr>
          <w:szCs w:val="28"/>
        </w:rPr>
        <w:t>s testimony in respect of profits that he said were made in his hairdressing business,</w:t>
      </w:r>
      <w:r w:rsidR="00864D5A" w:rsidRPr="00662BA1">
        <w:rPr>
          <w:szCs w:val="28"/>
        </w:rPr>
        <w:t xml:space="preserve"> the judge said that he found, “</w:t>
      </w:r>
      <w:r w:rsidR="00176C73" w:rsidRPr="00662BA1">
        <w:rPr>
          <w:szCs w:val="28"/>
        </w:rPr>
        <w:t xml:space="preserve">the defendant to be lying about the profits he was making from his salon businesses. </w:t>
      </w:r>
      <w:r w:rsidR="00864D5A" w:rsidRPr="00662BA1">
        <w:rPr>
          <w:szCs w:val="28"/>
        </w:rPr>
        <w:t xml:space="preserve"> </w:t>
      </w:r>
      <w:r w:rsidR="00176C73" w:rsidRPr="00662BA1">
        <w:rPr>
          <w:szCs w:val="28"/>
        </w:rPr>
        <w:t>He was just making it up as he went along.</w:t>
      </w:r>
      <w:r w:rsidR="00864D5A" w:rsidRPr="00662BA1">
        <w:rPr>
          <w:szCs w:val="28"/>
        </w:rPr>
        <w:t>” </w:t>
      </w:r>
      <w:r w:rsidR="00176C73" w:rsidRPr="00662BA1">
        <w:rPr>
          <w:rStyle w:val="FootnoteReference"/>
          <w:szCs w:val="28"/>
        </w:rPr>
        <w:footnoteReference w:id="117"/>
      </w:r>
      <w:r w:rsidR="00864D5A" w:rsidRPr="00662BA1">
        <w:rPr>
          <w:szCs w:val="28"/>
        </w:rPr>
        <w:t xml:space="preserve"> </w:t>
      </w:r>
      <w:r w:rsidR="00176C73" w:rsidRPr="00662BA1">
        <w:rPr>
          <w:szCs w:val="28"/>
        </w:rPr>
        <w:t xml:space="preserve"> The judge det</w:t>
      </w:r>
      <w:r w:rsidR="00864D5A" w:rsidRPr="00662BA1">
        <w:rPr>
          <w:szCs w:val="28"/>
        </w:rPr>
        <w:t>ermined that the applicant was “</w:t>
      </w:r>
      <w:r w:rsidR="00176C73" w:rsidRPr="00662BA1">
        <w:rPr>
          <w:szCs w:val="28"/>
        </w:rPr>
        <w:t>lying when he said that the only reason he used cash to deal with the securities companies was to u</w:t>
      </w:r>
      <w:r w:rsidR="00864D5A" w:rsidRPr="00662BA1">
        <w:rPr>
          <w:szCs w:val="28"/>
        </w:rPr>
        <w:t>rgently settle the margin calls”</w:t>
      </w:r>
      <w:r w:rsidR="00176C73" w:rsidRPr="00662BA1">
        <w:rPr>
          <w:szCs w:val="28"/>
        </w:rPr>
        <w:t xml:space="preserve">. </w:t>
      </w:r>
      <w:r w:rsidR="00864D5A" w:rsidRPr="00662BA1">
        <w:rPr>
          <w:szCs w:val="28"/>
        </w:rPr>
        <w:t xml:space="preserve"> </w:t>
      </w:r>
      <w:r w:rsidR="00176C73" w:rsidRPr="00662BA1">
        <w:rPr>
          <w:szCs w:val="28"/>
        </w:rPr>
        <w:t xml:space="preserve">Rather, he found that one of the reasons he did </w:t>
      </w:r>
      <w:r w:rsidR="00864D5A" w:rsidRPr="00662BA1">
        <w:rPr>
          <w:szCs w:val="28"/>
        </w:rPr>
        <w:t>so was because “</w:t>
      </w:r>
      <w:r w:rsidR="00176C73" w:rsidRPr="00662BA1">
        <w:rPr>
          <w:szCs w:val="28"/>
        </w:rPr>
        <w:t>he knew the cash transaction</w:t>
      </w:r>
      <w:r w:rsidR="00864D5A" w:rsidRPr="00662BA1">
        <w:rPr>
          <w:szCs w:val="28"/>
        </w:rPr>
        <w:t>s were more difficult to trace”</w:t>
      </w:r>
      <w:r w:rsidR="00CD33F8" w:rsidRPr="00662BA1">
        <w:rPr>
          <w:szCs w:val="28"/>
        </w:rPr>
        <w:t>.</w:t>
      </w:r>
      <w:r w:rsidR="00864D5A" w:rsidRPr="00662BA1">
        <w:rPr>
          <w:szCs w:val="28"/>
        </w:rPr>
        <w:t> </w:t>
      </w:r>
      <w:r w:rsidR="00176C73" w:rsidRPr="00662BA1">
        <w:rPr>
          <w:rStyle w:val="FootnoteReference"/>
          <w:szCs w:val="28"/>
        </w:rPr>
        <w:footnoteReference w:id="118"/>
      </w:r>
      <w:r w:rsidR="00176C73" w:rsidRPr="00662BA1">
        <w:rPr>
          <w:szCs w:val="28"/>
        </w:rPr>
        <w:t xml:space="preserve"> </w:t>
      </w:r>
      <w:r w:rsidR="00864D5A" w:rsidRPr="00662BA1">
        <w:rPr>
          <w:szCs w:val="28"/>
        </w:rPr>
        <w:t xml:space="preserve"> </w:t>
      </w:r>
      <w:r w:rsidR="00176C73" w:rsidRPr="00662BA1">
        <w:rPr>
          <w:szCs w:val="28"/>
        </w:rPr>
        <w:t>Of the deposit of 10 SJM che</w:t>
      </w:r>
      <w:r w:rsidR="00142776" w:rsidRPr="00662BA1">
        <w:rPr>
          <w:szCs w:val="28"/>
        </w:rPr>
        <w:t>ques, to a total value of $62.5 million, into the applicant’</w:t>
      </w:r>
      <w:r w:rsidR="00176C73" w:rsidRPr="00662BA1">
        <w:rPr>
          <w:szCs w:val="28"/>
        </w:rPr>
        <w:t>s bank accounts the judge</w:t>
      </w:r>
      <w:r w:rsidR="00142776" w:rsidRPr="00662BA1">
        <w:rPr>
          <w:szCs w:val="28"/>
        </w:rPr>
        <w:t xml:space="preserve"> found that, “</w:t>
      </w:r>
      <w:r w:rsidR="00176C73" w:rsidRPr="00662BA1">
        <w:rPr>
          <w:szCs w:val="28"/>
        </w:rPr>
        <w:t>the defendant was lying when he said they were all monies from his gambling winnings.</w:t>
      </w:r>
      <w:r w:rsidR="00142776" w:rsidRPr="00662BA1">
        <w:rPr>
          <w:szCs w:val="28"/>
        </w:rPr>
        <w:t>” </w:t>
      </w:r>
      <w:r w:rsidR="00176C73" w:rsidRPr="00662BA1">
        <w:rPr>
          <w:rStyle w:val="FootnoteReference"/>
          <w:szCs w:val="28"/>
        </w:rPr>
        <w:footnoteReference w:id="119"/>
      </w:r>
      <w:r w:rsidR="00142776" w:rsidRPr="00662BA1">
        <w:rPr>
          <w:szCs w:val="28"/>
        </w:rPr>
        <w:t xml:space="preserve">  </w:t>
      </w:r>
      <w:r w:rsidR="00176C73" w:rsidRPr="00662BA1">
        <w:rPr>
          <w:szCs w:val="28"/>
        </w:rPr>
        <w:t>Fur</w:t>
      </w:r>
      <w:r w:rsidR="00142776" w:rsidRPr="00662BA1">
        <w:rPr>
          <w:szCs w:val="28"/>
        </w:rPr>
        <w:t>ther, he found that, “</w:t>
      </w:r>
      <w:r w:rsidR="00176C73" w:rsidRPr="00662BA1">
        <w:rPr>
          <w:szCs w:val="28"/>
        </w:rPr>
        <w:t>the defendant is not telling the truth about the circumstances surrounding the cash cheques from SJM.</w:t>
      </w:r>
      <w:r w:rsidR="00142776" w:rsidRPr="00662BA1">
        <w:rPr>
          <w:szCs w:val="28"/>
        </w:rPr>
        <w:t>” </w:t>
      </w:r>
      <w:r w:rsidR="00176C73" w:rsidRPr="00662BA1">
        <w:rPr>
          <w:rStyle w:val="FootnoteReference"/>
          <w:szCs w:val="28"/>
        </w:rPr>
        <w:footnoteReference w:id="120"/>
      </w:r>
      <w:r w:rsidR="00176C73" w:rsidRPr="00662BA1">
        <w:rPr>
          <w:szCs w:val="28"/>
        </w:rPr>
        <w:t xml:space="preserve"> </w:t>
      </w:r>
    </w:p>
    <w:p w:rsidR="00142776" w:rsidRPr="00662BA1" w:rsidRDefault="00052537" w:rsidP="00142776">
      <w:pPr>
        <w:pStyle w:val="Final"/>
        <w:tabs>
          <w:tab w:val="clear" w:pos="4320"/>
          <w:tab w:val="clear" w:pos="9072"/>
          <w:tab w:val="left" w:pos="2074"/>
        </w:tabs>
        <w:snapToGrid/>
        <w:spacing w:before="360"/>
        <w:jc w:val="both"/>
        <w:rPr>
          <w:szCs w:val="28"/>
        </w:rPr>
      </w:pPr>
      <w:r w:rsidRPr="00662BA1">
        <w:rPr>
          <w:szCs w:val="28"/>
        </w:rPr>
        <w:fldChar w:fldCharType="begin"/>
      </w:r>
      <w:r w:rsidR="00142776" w:rsidRPr="00662BA1">
        <w:rPr>
          <w:szCs w:val="28"/>
        </w:rPr>
        <w:instrText xml:space="preserve"> AUTONUMOUT  </w:instrText>
      </w:r>
      <w:r w:rsidRPr="00662BA1">
        <w:rPr>
          <w:szCs w:val="28"/>
        </w:rPr>
        <w:fldChar w:fldCharType="end"/>
      </w:r>
      <w:r w:rsidR="00142776" w:rsidRPr="00662BA1">
        <w:rPr>
          <w:szCs w:val="28"/>
        </w:rPr>
        <w:tab/>
      </w:r>
      <w:r w:rsidR="00176C73" w:rsidRPr="00662BA1">
        <w:rPr>
          <w:szCs w:val="28"/>
        </w:rPr>
        <w:t xml:space="preserve">Of his dealings with Ms Yu in the sale of </w:t>
      </w:r>
      <w:r w:rsidR="00142776" w:rsidRPr="00662BA1">
        <w:rPr>
          <w:szCs w:val="28"/>
        </w:rPr>
        <w:t xml:space="preserve">Gold </w:t>
      </w:r>
      <w:proofErr w:type="spellStart"/>
      <w:r w:rsidR="00142776" w:rsidRPr="00662BA1">
        <w:rPr>
          <w:szCs w:val="28"/>
        </w:rPr>
        <w:t>Wo</w:t>
      </w:r>
      <w:proofErr w:type="spellEnd"/>
      <w:r w:rsidR="00142776" w:rsidRPr="00662BA1">
        <w:rPr>
          <w:szCs w:val="28"/>
        </w:rPr>
        <w:t xml:space="preserve"> shares, the judge said “</w:t>
      </w:r>
      <w:r w:rsidR="00176C73" w:rsidRPr="00662BA1">
        <w:rPr>
          <w:szCs w:val="28"/>
        </w:rPr>
        <w:t>…</w:t>
      </w:r>
      <w:r w:rsidR="00142776" w:rsidRPr="00662BA1">
        <w:rPr>
          <w:szCs w:val="28"/>
        </w:rPr>
        <w:t xml:space="preserve"> </w:t>
      </w:r>
      <w:r w:rsidR="00176C73" w:rsidRPr="00662BA1">
        <w:rPr>
          <w:szCs w:val="28"/>
        </w:rPr>
        <w:t>the defendant was lying about the true natu</w:t>
      </w:r>
      <w:r w:rsidR="00142776" w:rsidRPr="00662BA1">
        <w:rPr>
          <w:szCs w:val="28"/>
        </w:rPr>
        <w:t>re of his dealings with Ms </w:t>
      </w:r>
      <w:r w:rsidR="00176C73" w:rsidRPr="00662BA1">
        <w:rPr>
          <w:szCs w:val="28"/>
        </w:rPr>
        <w:t xml:space="preserve">Yu and the circumstances surrounding the sale of Gold </w:t>
      </w:r>
      <w:proofErr w:type="spellStart"/>
      <w:r w:rsidR="00176C73" w:rsidRPr="00662BA1">
        <w:rPr>
          <w:szCs w:val="28"/>
        </w:rPr>
        <w:t>Wo</w:t>
      </w:r>
      <w:proofErr w:type="spellEnd"/>
      <w:r w:rsidR="00176C73" w:rsidRPr="00662BA1">
        <w:rPr>
          <w:szCs w:val="28"/>
        </w:rPr>
        <w:t xml:space="preserve"> shares through her.</w:t>
      </w:r>
      <w:r w:rsidR="00142776" w:rsidRPr="00662BA1">
        <w:rPr>
          <w:szCs w:val="28"/>
        </w:rPr>
        <w:t>” </w:t>
      </w:r>
      <w:r w:rsidR="00176C73" w:rsidRPr="00662BA1">
        <w:rPr>
          <w:rStyle w:val="FootnoteReference"/>
          <w:szCs w:val="28"/>
        </w:rPr>
        <w:footnoteReference w:id="121"/>
      </w:r>
      <w:r w:rsidR="00176C73" w:rsidRPr="00662BA1">
        <w:rPr>
          <w:szCs w:val="28"/>
        </w:rPr>
        <w:t xml:space="preserve"> </w:t>
      </w:r>
      <w:r w:rsidR="00142776" w:rsidRPr="00662BA1">
        <w:rPr>
          <w:szCs w:val="28"/>
        </w:rPr>
        <w:t xml:space="preserve"> Of the defendant’</w:t>
      </w:r>
      <w:r w:rsidR="00176C73" w:rsidRPr="00662BA1">
        <w:rPr>
          <w:szCs w:val="28"/>
        </w:rPr>
        <w:t>s evidence that deposits of money in his bank accounts by various individuals and entities were the return of his investments in Neptune Club or the sale of his shares in Ma</w:t>
      </w:r>
      <w:r w:rsidR="00142776" w:rsidRPr="00662BA1">
        <w:rPr>
          <w:szCs w:val="28"/>
        </w:rPr>
        <w:t>ssive Resources, the judge said</w:t>
      </w:r>
      <w:r w:rsidR="00254BD9">
        <w:rPr>
          <w:szCs w:val="28"/>
        </w:rPr>
        <w:t xml:space="preserve"> “</w:t>
      </w:r>
      <w:r w:rsidR="00176C73" w:rsidRPr="00662BA1">
        <w:rPr>
          <w:szCs w:val="28"/>
        </w:rPr>
        <w:t>I find that the defendant is not telling the truth about those investments and I reject his evidence.</w:t>
      </w:r>
      <w:r w:rsidR="00142776" w:rsidRPr="00662BA1">
        <w:rPr>
          <w:szCs w:val="28"/>
        </w:rPr>
        <w:t>” </w:t>
      </w:r>
      <w:r w:rsidR="00176C73" w:rsidRPr="00662BA1">
        <w:rPr>
          <w:rStyle w:val="FootnoteReference"/>
          <w:szCs w:val="28"/>
        </w:rPr>
        <w:footnoteReference w:id="122"/>
      </w:r>
      <w:r w:rsidR="00176C73" w:rsidRPr="00662BA1">
        <w:rPr>
          <w:szCs w:val="28"/>
        </w:rPr>
        <w:t xml:space="preserve"> </w:t>
      </w:r>
    </w:p>
    <w:p w:rsidR="00142776" w:rsidRPr="00662BA1" w:rsidRDefault="00176C73" w:rsidP="00142776">
      <w:pPr>
        <w:pStyle w:val="Final"/>
        <w:tabs>
          <w:tab w:val="clear" w:pos="4320"/>
          <w:tab w:val="clear" w:pos="9072"/>
          <w:tab w:val="left" w:pos="2074"/>
        </w:tabs>
        <w:snapToGrid/>
        <w:spacing w:before="360"/>
        <w:jc w:val="both"/>
        <w:rPr>
          <w:i/>
        </w:rPr>
      </w:pPr>
      <w:r w:rsidRPr="00662BA1">
        <w:rPr>
          <w:i/>
        </w:rPr>
        <w:t xml:space="preserve">The applicant’s asserted beliefs </w:t>
      </w:r>
    </w:p>
    <w:p w:rsidR="00142776" w:rsidRPr="00662BA1" w:rsidRDefault="00052537" w:rsidP="00142776">
      <w:pPr>
        <w:pStyle w:val="Final"/>
        <w:tabs>
          <w:tab w:val="clear" w:pos="4320"/>
          <w:tab w:val="clear" w:pos="9072"/>
          <w:tab w:val="left" w:pos="2074"/>
        </w:tabs>
        <w:snapToGrid/>
        <w:spacing w:before="360"/>
        <w:jc w:val="both"/>
      </w:pPr>
      <w:r w:rsidRPr="00662BA1">
        <w:fldChar w:fldCharType="begin"/>
      </w:r>
      <w:r w:rsidR="00142776" w:rsidRPr="00662BA1">
        <w:instrText xml:space="preserve"> AUTONUMOUT  </w:instrText>
      </w:r>
      <w:r w:rsidRPr="00662BA1">
        <w:fldChar w:fldCharType="end"/>
      </w:r>
      <w:r w:rsidR="00142776" w:rsidRPr="00662BA1">
        <w:tab/>
      </w:r>
      <w:r w:rsidR="00176C73" w:rsidRPr="00662BA1">
        <w:t>Clearly, in those instances the judge had unamb</w:t>
      </w:r>
      <w:r w:rsidR="00142776" w:rsidRPr="00662BA1">
        <w:t>iguously rejected the applicant’</w:t>
      </w:r>
      <w:r w:rsidR="00176C73" w:rsidRPr="00662BA1">
        <w:t>s testimony advanced to explain or provide reasons for particular deposits into the bank accounts.</w:t>
      </w:r>
      <w:r w:rsidR="00142776" w:rsidRPr="00662BA1">
        <w:t xml:space="preserve"> </w:t>
      </w:r>
      <w:r w:rsidR="00176C73" w:rsidRPr="00662BA1">
        <w:t xml:space="preserve"> Notwithstanding those findings, nevertheless the judge we</w:t>
      </w:r>
      <w:r w:rsidR="00142776" w:rsidRPr="00662BA1">
        <w:t>nt on to consider the applicant’</w:t>
      </w:r>
      <w:r w:rsidR="00176C73" w:rsidRPr="00662BA1">
        <w:t>s evidence of his beliefs or understanding in respect of the propriety of the deposits.</w:t>
      </w:r>
    </w:p>
    <w:p w:rsidR="00176C73" w:rsidRPr="00662BA1" w:rsidRDefault="00052537" w:rsidP="00142776">
      <w:pPr>
        <w:pStyle w:val="Final"/>
        <w:tabs>
          <w:tab w:val="clear" w:pos="4320"/>
          <w:tab w:val="clear" w:pos="9072"/>
          <w:tab w:val="left" w:pos="2074"/>
        </w:tabs>
        <w:snapToGrid/>
        <w:spacing w:before="360"/>
        <w:jc w:val="both"/>
        <w:rPr>
          <w:szCs w:val="28"/>
        </w:rPr>
      </w:pPr>
      <w:r w:rsidRPr="00662BA1">
        <w:fldChar w:fldCharType="begin"/>
      </w:r>
      <w:r w:rsidR="00142776" w:rsidRPr="00662BA1">
        <w:instrText xml:space="preserve"> AUTONUMOUT  </w:instrText>
      </w:r>
      <w:r w:rsidRPr="00662BA1">
        <w:fldChar w:fldCharType="end"/>
      </w:r>
      <w:r w:rsidR="00142776" w:rsidRPr="00662BA1">
        <w:tab/>
      </w:r>
      <w:r w:rsidR="00176C73" w:rsidRPr="00662BA1">
        <w:t>Of th</w:t>
      </w:r>
      <w:r w:rsidR="00176C73" w:rsidRPr="00662BA1">
        <w:rPr>
          <w:szCs w:val="28"/>
        </w:rPr>
        <w:t>e applicant</w:t>
      </w:r>
      <w:r w:rsidR="00142776" w:rsidRPr="00662BA1">
        <w:rPr>
          <w:szCs w:val="28"/>
        </w:rPr>
        <w:t>’</w:t>
      </w:r>
      <w:r w:rsidR="00176C73" w:rsidRPr="00662BA1">
        <w:rPr>
          <w:szCs w:val="28"/>
        </w:rPr>
        <w:t>s testimony that he had asked Lin</w:t>
      </w:r>
      <w:r w:rsidR="00176C73" w:rsidRPr="00662BA1">
        <w:t xml:space="preserve"> </w:t>
      </w:r>
      <w:proofErr w:type="spellStart"/>
      <w:r w:rsidR="00176C73" w:rsidRPr="00662BA1">
        <w:t>Cheuk</w:t>
      </w:r>
      <w:proofErr w:type="spellEnd"/>
      <w:r w:rsidR="00176C73" w:rsidRPr="00662BA1">
        <w:t xml:space="preserve"> Fung</w:t>
      </w:r>
      <w:r w:rsidR="00176C73" w:rsidRPr="00662BA1">
        <w:rPr>
          <w:szCs w:val="28"/>
        </w:rPr>
        <w:t xml:space="preserve"> why a number of people were sending him cheques drawn on their personal acc</w:t>
      </w:r>
      <w:r w:rsidR="00142776" w:rsidRPr="00662BA1">
        <w:rPr>
          <w:szCs w:val="28"/>
        </w:rPr>
        <w:t>ounts and had been told it was “</w:t>
      </w:r>
      <w:r w:rsidR="00176C73" w:rsidRPr="00662BA1">
        <w:rPr>
          <w:szCs w:val="28"/>
        </w:rPr>
        <w:t>for him to g</w:t>
      </w:r>
      <w:r w:rsidR="00142776" w:rsidRPr="00662BA1">
        <w:rPr>
          <w:szCs w:val="28"/>
        </w:rPr>
        <w:t>ive me or transfer me the money”</w:t>
      </w:r>
      <w:r w:rsidR="00176C73" w:rsidRPr="00662BA1">
        <w:rPr>
          <w:szCs w:val="28"/>
        </w:rPr>
        <w:t>,</w:t>
      </w:r>
      <w:r w:rsidR="00176C73" w:rsidRPr="00662BA1">
        <w:rPr>
          <w:rStyle w:val="FootnoteReference"/>
          <w:szCs w:val="28"/>
        </w:rPr>
        <w:footnoteReference w:id="123"/>
      </w:r>
      <w:r w:rsidR="00176C73" w:rsidRPr="00662BA1">
        <w:rPr>
          <w:szCs w:val="28"/>
        </w:rPr>
        <w:t xml:space="preserve"> and that</w:t>
      </w:r>
      <w:r w:rsidR="00176C73" w:rsidRPr="00662BA1">
        <w:t xml:space="preserve"> </w:t>
      </w:r>
      <w:r w:rsidR="00142776" w:rsidRPr="00662BA1">
        <w:t>“</w:t>
      </w:r>
      <w:r w:rsidR="00176C73" w:rsidRPr="00662BA1">
        <w:t>he felt reassured and never doubted the propriety of the money so received</w:t>
      </w:r>
      <w:r w:rsidR="00142776" w:rsidRPr="00662BA1">
        <w:t>” </w:t>
      </w:r>
      <w:r w:rsidR="00176C73" w:rsidRPr="00662BA1">
        <w:rPr>
          <w:rStyle w:val="FootnoteReference"/>
        </w:rPr>
        <w:footnoteReference w:id="124"/>
      </w:r>
      <w:r w:rsidR="00176C73" w:rsidRPr="00662BA1">
        <w:t xml:space="preserve">, </w:t>
      </w:r>
      <w:r w:rsidR="00176C73" w:rsidRPr="00662BA1">
        <w:rPr>
          <w:szCs w:val="28"/>
        </w:rPr>
        <w:t>the judge found:</w:t>
      </w:r>
      <w:r w:rsidR="00176C73" w:rsidRPr="00662BA1">
        <w:rPr>
          <w:rStyle w:val="FootnoteReference"/>
          <w:szCs w:val="28"/>
        </w:rPr>
        <w:footnoteReference w:id="125"/>
      </w:r>
    </w:p>
    <w:p w:rsidR="00142776" w:rsidRPr="00662BA1" w:rsidRDefault="00142776" w:rsidP="00142776">
      <w:pPr>
        <w:pStyle w:val="ListParagraph"/>
        <w:tabs>
          <w:tab w:val="clear" w:pos="4320"/>
          <w:tab w:val="clear" w:pos="9072"/>
          <w:tab w:val="left" w:pos="2074"/>
        </w:tabs>
        <w:snapToGrid/>
        <w:spacing w:before="240"/>
        <w:ind w:left="1440" w:right="835" w:hanging="173"/>
        <w:jc w:val="both"/>
        <w:rPr>
          <w:sz w:val="24"/>
          <w:szCs w:val="24"/>
        </w:rPr>
      </w:pPr>
      <w:r w:rsidRPr="00662BA1">
        <w:rPr>
          <w:sz w:val="24"/>
          <w:szCs w:val="24"/>
        </w:rPr>
        <w:t>“</w:t>
      </w:r>
      <w:r w:rsidRPr="00662BA1">
        <w:rPr>
          <w:sz w:val="24"/>
          <w:szCs w:val="24"/>
        </w:rPr>
        <w:tab/>
      </w:r>
      <w:proofErr w:type="gramStart"/>
      <w:r w:rsidR="00176C73" w:rsidRPr="00662BA1">
        <w:rPr>
          <w:sz w:val="24"/>
          <w:szCs w:val="24"/>
        </w:rPr>
        <w:t>the</w:t>
      </w:r>
      <w:proofErr w:type="gramEnd"/>
      <w:r w:rsidR="00176C73" w:rsidRPr="00662BA1">
        <w:rPr>
          <w:sz w:val="24"/>
          <w:szCs w:val="24"/>
        </w:rPr>
        <w:t xml:space="preserve"> defendant is not telling the truth about whether he did ask Lin or those who made the deposits about why they</w:t>
      </w:r>
      <w:r w:rsidRPr="00662BA1">
        <w:rPr>
          <w:sz w:val="24"/>
          <w:szCs w:val="24"/>
        </w:rPr>
        <w:t xml:space="preserve"> were making the deposits.”</w:t>
      </w:r>
    </w:p>
    <w:p w:rsidR="00142776" w:rsidRPr="00662BA1" w:rsidRDefault="00142776" w:rsidP="00142776">
      <w:pPr>
        <w:pStyle w:val="ListParagraph"/>
        <w:tabs>
          <w:tab w:val="clear" w:pos="4320"/>
          <w:tab w:val="clear" w:pos="9072"/>
          <w:tab w:val="left" w:pos="2074"/>
        </w:tabs>
        <w:snapToGrid/>
        <w:spacing w:line="80" w:lineRule="exact"/>
        <w:ind w:left="1454" w:right="835" w:hanging="187"/>
        <w:jc w:val="both"/>
        <w:rPr>
          <w:sz w:val="24"/>
          <w:szCs w:val="24"/>
        </w:rPr>
      </w:pPr>
    </w:p>
    <w:p w:rsidR="00142776" w:rsidRPr="00662BA1" w:rsidRDefault="00142776" w:rsidP="00142776">
      <w:pPr>
        <w:pStyle w:val="ListParagraph"/>
        <w:tabs>
          <w:tab w:val="clear" w:pos="4320"/>
          <w:tab w:val="clear" w:pos="9072"/>
          <w:tab w:val="left" w:pos="2074"/>
        </w:tabs>
        <w:snapToGrid/>
        <w:spacing w:line="80" w:lineRule="exact"/>
        <w:ind w:left="1454" w:right="835" w:hanging="187"/>
        <w:jc w:val="both"/>
        <w:rPr>
          <w:sz w:val="24"/>
          <w:szCs w:val="24"/>
        </w:rPr>
      </w:pPr>
    </w:p>
    <w:p w:rsidR="00176C73" w:rsidRPr="00662BA1" w:rsidRDefault="00176C73" w:rsidP="00142776">
      <w:pPr>
        <w:pStyle w:val="ListParagraph"/>
        <w:tabs>
          <w:tab w:val="clear" w:pos="4320"/>
          <w:tab w:val="clear" w:pos="9072"/>
          <w:tab w:val="left" w:pos="2074"/>
        </w:tabs>
        <w:snapToGrid/>
        <w:spacing w:line="80" w:lineRule="exact"/>
        <w:ind w:left="1454" w:right="835" w:hanging="187"/>
        <w:jc w:val="both"/>
        <w:rPr>
          <w:sz w:val="24"/>
          <w:szCs w:val="24"/>
        </w:rPr>
      </w:pPr>
    </w:p>
    <w:p w:rsidR="00176C73" w:rsidRPr="0096177A" w:rsidRDefault="00176C73" w:rsidP="00142776">
      <w:pPr>
        <w:pStyle w:val="ListParagraph"/>
        <w:tabs>
          <w:tab w:val="clear" w:pos="4320"/>
          <w:tab w:val="clear" w:pos="9072"/>
        </w:tabs>
        <w:snapToGrid/>
        <w:spacing w:before="360" w:line="360" w:lineRule="auto"/>
        <w:ind w:left="0"/>
        <w:jc w:val="both"/>
        <w:rPr>
          <w:szCs w:val="28"/>
        </w:rPr>
      </w:pPr>
      <w:r w:rsidRPr="0096177A">
        <w:rPr>
          <w:szCs w:val="28"/>
        </w:rPr>
        <w:t>Subsequently, the judge found:</w:t>
      </w:r>
      <w:r w:rsidRPr="0096177A">
        <w:rPr>
          <w:rStyle w:val="FootnoteReference"/>
          <w:szCs w:val="28"/>
        </w:rPr>
        <w:footnoteReference w:id="126"/>
      </w:r>
    </w:p>
    <w:p w:rsidR="00142776" w:rsidRPr="00662BA1" w:rsidRDefault="00142776" w:rsidP="00142776">
      <w:pPr>
        <w:tabs>
          <w:tab w:val="clear" w:pos="4320"/>
          <w:tab w:val="clear" w:pos="9072"/>
          <w:tab w:val="left" w:pos="2074"/>
        </w:tabs>
        <w:snapToGrid/>
        <w:spacing w:before="240"/>
        <w:ind w:left="1454" w:right="835" w:hanging="187"/>
        <w:jc w:val="both"/>
        <w:rPr>
          <w:sz w:val="24"/>
          <w:szCs w:val="24"/>
        </w:rPr>
      </w:pPr>
      <w:r w:rsidRPr="00662BA1">
        <w:rPr>
          <w:sz w:val="24"/>
          <w:szCs w:val="24"/>
        </w:rPr>
        <w:t>“</w:t>
      </w:r>
      <w:r w:rsidRPr="00662BA1">
        <w:rPr>
          <w:sz w:val="24"/>
          <w:szCs w:val="24"/>
        </w:rPr>
        <w:tab/>
      </w:r>
      <w:r w:rsidR="00176C73" w:rsidRPr="00662BA1">
        <w:rPr>
          <w:sz w:val="24"/>
          <w:szCs w:val="24"/>
        </w:rPr>
        <w:t>…he did not care where the money came from and did not bother to ask why the mone</w:t>
      </w:r>
      <w:r w:rsidRPr="00662BA1">
        <w:rPr>
          <w:sz w:val="24"/>
          <w:szCs w:val="24"/>
        </w:rPr>
        <w:t>y was coming from those people.”</w:t>
      </w:r>
    </w:p>
    <w:p w:rsidR="00142776" w:rsidRPr="00662BA1" w:rsidRDefault="00142776" w:rsidP="00142776">
      <w:pPr>
        <w:tabs>
          <w:tab w:val="clear" w:pos="4320"/>
          <w:tab w:val="clear" w:pos="9072"/>
          <w:tab w:val="left" w:pos="2074"/>
        </w:tabs>
        <w:snapToGrid/>
        <w:spacing w:line="80" w:lineRule="exact"/>
        <w:ind w:left="1454" w:right="835" w:hanging="187"/>
        <w:jc w:val="both"/>
        <w:rPr>
          <w:sz w:val="24"/>
          <w:szCs w:val="24"/>
        </w:rPr>
      </w:pPr>
    </w:p>
    <w:p w:rsidR="00176C73" w:rsidRPr="00662BA1" w:rsidRDefault="00176C73" w:rsidP="00142776">
      <w:pPr>
        <w:tabs>
          <w:tab w:val="clear" w:pos="4320"/>
          <w:tab w:val="clear" w:pos="9072"/>
          <w:tab w:val="left" w:pos="2074"/>
        </w:tabs>
        <w:snapToGrid/>
        <w:spacing w:line="80" w:lineRule="exact"/>
        <w:ind w:left="1454" w:right="835" w:hanging="187"/>
        <w:jc w:val="both"/>
      </w:pPr>
    </w:p>
    <w:p w:rsidR="00176C73" w:rsidRPr="00662BA1" w:rsidRDefault="00052537" w:rsidP="00142776">
      <w:pPr>
        <w:tabs>
          <w:tab w:val="clear" w:pos="4320"/>
          <w:tab w:val="clear" w:pos="9072"/>
        </w:tabs>
        <w:snapToGrid/>
        <w:spacing w:before="360" w:line="360" w:lineRule="auto"/>
        <w:jc w:val="both"/>
      </w:pPr>
      <w:r w:rsidRPr="00662BA1">
        <w:fldChar w:fldCharType="begin"/>
      </w:r>
      <w:r w:rsidR="00142776" w:rsidRPr="00662BA1">
        <w:instrText xml:space="preserve"> AUTONUMOUT  </w:instrText>
      </w:r>
      <w:r w:rsidRPr="00662BA1">
        <w:fldChar w:fldCharType="end"/>
      </w:r>
      <w:r w:rsidR="00142776" w:rsidRPr="00662BA1">
        <w:tab/>
      </w:r>
      <w:r w:rsidR="00176C73" w:rsidRPr="00662BA1">
        <w:t>Notwithstanding his rejection of the applicant’s account of his dealings with Lin and Cheung and his testimony of making enquiries of Lin and being reassured as to the propriety of receiving those payments, nevertheless the judge went on to consider the issue of the applicant’s asserted beliefs or understanding on the entirely hypothetical basis that the applicant had been telling the truth:</w:t>
      </w:r>
      <w:r w:rsidR="00176C73" w:rsidRPr="00662BA1">
        <w:rPr>
          <w:rStyle w:val="FootnoteReference"/>
        </w:rPr>
        <w:footnoteReference w:id="127"/>
      </w:r>
    </w:p>
    <w:p w:rsidR="00176C73" w:rsidRPr="00662BA1" w:rsidRDefault="00176C73" w:rsidP="003B6D02">
      <w:pPr>
        <w:pStyle w:val="ListParagraph"/>
        <w:tabs>
          <w:tab w:val="clear" w:pos="4320"/>
          <w:tab w:val="clear" w:pos="9072"/>
        </w:tabs>
        <w:snapToGrid/>
        <w:jc w:val="both"/>
      </w:pPr>
    </w:p>
    <w:p w:rsidR="00AC2E71" w:rsidRDefault="00142776" w:rsidP="00142776">
      <w:pPr>
        <w:pStyle w:val="ListParagraph"/>
        <w:tabs>
          <w:tab w:val="clear" w:pos="4320"/>
          <w:tab w:val="clear" w:pos="9072"/>
          <w:tab w:val="left" w:pos="2074"/>
        </w:tabs>
        <w:snapToGrid/>
        <w:spacing w:before="240"/>
        <w:ind w:left="1454" w:right="835" w:hanging="187"/>
        <w:jc w:val="both"/>
        <w:rPr>
          <w:sz w:val="24"/>
          <w:szCs w:val="24"/>
        </w:rPr>
      </w:pPr>
      <w:r w:rsidRPr="00662BA1">
        <w:rPr>
          <w:sz w:val="24"/>
          <w:szCs w:val="24"/>
        </w:rPr>
        <w:t>“</w:t>
      </w:r>
      <w:r w:rsidRPr="00662BA1">
        <w:rPr>
          <w:sz w:val="24"/>
          <w:szCs w:val="24"/>
        </w:rPr>
        <w:tab/>
      </w:r>
      <w:r w:rsidR="00176C73" w:rsidRPr="00662BA1">
        <w:rPr>
          <w:sz w:val="24"/>
          <w:szCs w:val="24"/>
        </w:rPr>
        <w:t xml:space="preserve">I also find that, </w:t>
      </w:r>
      <w:r w:rsidR="00176C73" w:rsidRPr="00662BA1">
        <w:rPr>
          <w:i/>
          <w:sz w:val="24"/>
          <w:szCs w:val="24"/>
        </w:rPr>
        <w:t>even if</w:t>
      </w:r>
      <w:r w:rsidR="00176C73" w:rsidRPr="00662BA1">
        <w:rPr>
          <w:sz w:val="24"/>
          <w:szCs w:val="24"/>
        </w:rPr>
        <w:t xml:space="preserve"> the defendant did ask and was told that the money was clean and it was fine for the defendant to accept, a right thinking member of the community would immediately question the truth of the explanations, because if the investment was with Lin in Neptune Club, the boss of the VIP room, why would the money be coming back from all those individuals and entities who are connected to Lin.</w:t>
      </w:r>
      <w:r w:rsidRPr="00662BA1">
        <w:rPr>
          <w:sz w:val="24"/>
          <w:szCs w:val="24"/>
        </w:rPr>
        <w:t xml:space="preserve"> </w:t>
      </w:r>
      <w:r w:rsidR="00176C73" w:rsidRPr="00662BA1">
        <w:rPr>
          <w:sz w:val="24"/>
          <w:szCs w:val="24"/>
        </w:rPr>
        <w:t xml:space="preserve"> Given the circumstanc</w:t>
      </w:r>
      <w:r w:rsidRPr="00662BA1">
        <w:rPr>
          <w:sz w:val="24"/>
          <w:szCs w:val="24"/>
        </w:rPr>
        <w:t>es of the so</w:t>
      </w:r>
      <w:r w:rsidR="00CD33F8">
        <w:rPr>
          <w:sz w:val="24"/>
          <w:szCs w:val="24"/>
        </w:rPr>
        <w:t>-</w:t>
      </w:r>
      <w:r w:rsidRPr="00662BA1">
        <w:rPr>
          <w:sz w:val="24"/>
          <w:szCs w:val="24"/>
        </w:rPr>
        <w:t>called $20</w:t>
      </w:r>
      <w:proofErr w:type="gramStart"/>
      <w:r w:rsidRPr="00662BA1">
        <w:rPr>
          <w:sz w:val="24"/>
          <w:szCs w:val="24"/>
        </w:rPr>
        <w:t>  </w:t>
      </w:r>
      <w:r w:rsidR="00176C73" w:rsidRPr="00662BA1">
        <w:rPr>
          <w:sz w:val="24"/>
          <w:szCs w:val="24"/>
        </w:rPr>
        <w:t>million</w:t>
      </w:r>
      <w:proofErr w:type="gramEnd"/>
      <w:r w:rsidR="00176C73" w:rsidRPr="00662BA1">
        <w:rPr>
          <w:sz w:val="24"/>
          <w:szCs w:val="24"/>
        </w:rPr>
        <w:t xml:space="preserve"> investment in Neptune Club, a right thinking person would have reasonable grounds to believe that the money so paid represented wholly or in part, directly or indirectly procee</w:t>
      </w:r>
      <w:r w:rsidRPr="00662BA1">
        <w:rPr>
          <w:sz w:val="24"/>
          <w:szCs w:val="24"/>
        </w:rPr>
        <w:t xml:space="preserve">ds from an indictable offence.” </w:t>
      </w:r>
      <w:r w:rsidR="00CD33F8">
        <w:rPr>
          <w:sz w:val="24"/>
          <w:szCs w:val="24"/>
        </w:rPr>
        <w:t xml:space="preserve"> </w:t>
      </w:r>
      <w:r w:rsidR="00176C73" w:rsidRPr="00662BA1">
        <w:rPr>
          <w:sz w:val="24"/>
          <w:szCs w:val="24"/>
        </w:rPr>
        <w:t>[Italics added.]</w:t>
      </w:r>
    </w:p>
    <w:p w:rsidR="00AC2E71" w:rsidRDefault="00AC2E71" w:rsidP="00AC2E71">
      <w:pPr>
        <w:pStyle w:val="ListParagraph"/>
        <w:tabs>
          <w:tab w:val="clear" w:pos="4320"/>
          <w:tab w:val="clear" w:pos="9072"/>
          <w:tab w:val="left" w:pos="2074"/>
        </w:tabs>
        <w:snapToGrid/>
        <w:spacing w:line="80" w:lineRule="exact"/>
        <w:ind w:left="1454" w:right="835" w:hanging="187"/>
        <w:jc w:val="both"/>
        <w:rPr>
          <w:sz w:val="24"/>
          <w:szCs w:val="24"/>
        </w:rPr>
      </w:pPr>
    </w:p>
    <w:p w:rsidR="00176C73" w:rsidRPr="00662BA1" w:rsidRDefault="00176C73" w:rsidP="00AC2E71">
      <w:pPr>
        <w:pStyle w:val="ListParagraph"/>
        <w:tabs>
          <w:tab w:val="clear" w:pos="4320"/>
          <w:tab w:val="clear" w:pos="9072"/>
          <w:tab w:val="left" w:pos="2074"/>
        </w:tabs>
        <w:snapToGrid/>
        <w:spacing w:line="80" w:lineRule="exact"/>
        <w:ind w:left="1454" w:right="835" w:hanging="187"/>
        <w:jc w:val="both"/>
        <w:rPr>
          <w:sz w:val="24"/>
          <w:szCs w:val="24"/>
        </w:rPr>
      </w:pPr>
    </w:p>
    <w:p w:rsidR="00176C73" w:rsidRPr="00662BA1" w:rsidRDefault="00052537" w:rsidP="00142776">
      <w:pPr>
        <w:pStyle w:val="Final"/>
        <w:tabs>
          <w:tab w:val="clear" w:pos="4320"/>
          <w:tab w:val="clear" w:pos="9072"/>
        </w:tabs>
        <w:snapToGrid/>
        <w:spacing w:before="360"/>
        <w:jc w:val="both"/>
        <w:rPr>
          <w:szCs w:val="28"/>
        </w:rPr>
      </w:pPr>
      <w:r w:rsidRPr="00662BA1">
        <w:rPr>
          <w:szCs w:val="28"/>
        </w:rPr>
        <w:fldChar w:fldCharType="begin"/>
      </w:r>
      <w:r w:rsidR="00142776" w:rsidRPr="00662BA1">
        <w:rPr>
          <w:szCs w:val="28"/>
        </w:rPr>
        <w:instrText xml:space="preserve"> AUTONUMOUT  </w:instrText>
      </w:r>
      <w:r w:rsidRPr="00662BA1">
        <w:rPr>
          <w:szCs w:val="28"/>
        </w:rPr>
        <w:fldChar w:fldCharType="end"/>
      </w:r>
      <w:r w:rsidR="00142776" w:rsidRPr="00662BA1">
        <w:rPr>
          <w:szCs w:val="28"/>
        </w:rPr>
        <w:tab/>
      </w:r>
      <w:r w:rsidR="00176C73" w:rsidRPr="00662BA1">
        <w:rPr>
          <w:szCs w:val="28"/>
        </w:rPr>
        <w:t>Similarly, notwithstanding his rejection of the applicant’s testimony in respect of payments to his accounts by Lin and those acting on his behalf, the judge went on to consider the matter on the hypothetical basis that the applicant had been telling the truth:</w:t>
      </w:r>
      <w:r w:rsidR="00176C73" w:rsidRPr="00662BA1">
        <w:rPr>
          <w:rStyle w:val="FootnoteReference"/>
          <w:szCs w:val="28"/>
        </w:rPr>
        <w:footnoteReference w:id="128"/>
      </w:r>
    </w:p>
    <w:p w:rsidR="00E57DEB" w:rsidRDefault="00B614F6" w:rsidP="00E57DEB">
      <w:pPr>
        <w:pStyle w:val="ListParagraph"/>
        <w:tabs>
          <w:tab w:val="clear" w:pos="4320"/>
          <w:tab w:val="clear" w:pos="9072"/>
        </w:tabs>
        <w:snapToGrid/>
        <w:spacing w:before="240"/>
        <w:ind w:left="1440" w:right="746" w:hanging="187"/>
        <w:contextualSpacing w:val="0"/>
        <w:jc w:val="both"/>
        <w:rPr>
          <w:sz w:val="24"/>
          <w:szCs w:val="24"/>
        </w:rPr>
      </w:pPr>
      <w:r w:rsidRPr="00662BA1">
        <w:rPr>
          <w:sz w:val="24"/>
          <w:szCs w:val="24"/>
        </w:rPr>
        <w:t>“</w:t>
      </w:r>
      <w:r w:rsidRPr="00662BA1">
        <w:rPr>
          <w:sz w:val="24"/>
          <w:szCs w:val="24"/>
        </w:rPr>
        <w:tab/>
      </w:r>
      <w:r w:rsidR="00176C73" w:rsidRPr="00662BA1">
        <w:rPr>
          <w:sz w:val="24"/>
          <w:szCs w:val="24"/>
        </w:rPr>
        <w:t xml:space="preserve">I find further that, </w:t>
      </w:r>
      <w:r w:rsidR="00176C73" w:rsidRPr="00662BA1">
        <w:rPr>
          <w:i/>
          <w:sz w:val="24"/>
          <w:szCs w:val="24"/>
        </w:rPr>
        <w:t>even if</w:t>
      </w:r>
      <w:r w:rsidR="00176C73" w:rsidRPr="00662BA1">
        <w:rPr>
          <w:sz w:val="24"/>
          <w:szCs w:val="24"/>
        </w:rPr>
        <w:t xml:space="preserve"> it is accepted that the defendant was telling the truth about how the payments were return for his investment in Neptune Club or in Stock Code 070, and </w:t>
      </w:r>
      <w:r w:rsidR="00176C73" w:rsidRPr="00662BA1">
        <w:rPr>
          <w:i/>
          <w:sz w:val="24"/>
          <w:szCs w:val="24"/>
        </w:rPr>
        <w:t>even if</w:t>
      </w:r>
      <w:r w:rsidR="00176C73" w:rsidRPr="00662BA1">
        <w:rPr>
          <w:sz w:val="24"/>
          <w:szCs w:val="24"/>
        </w:rPr>
        <w:t xml:space="preserve"> he was telling the truth about how he himself did not consider there was any problem with the payments being made by the staff members or companies connected to Lin </w:t>
      </w:r>
      <w:proofErr w:type="spellStart"/>
      <w:r w:rsidR="00176C73" w:rsidRPr="00662BA1">
        <w:rPr>
          <w:sz w:val="24"/>
          <w:szCs w:val="24"/>
        </w:rPr>
        <w:t>Cheuk</w:t>
      </w:r>
      <w:proofErr w:type="spellEnd"/>
      <w:r w:rsidR="00176C73" w:rsidRPr="00662BA1">
        <w:rPr>
          <w:sz w:val="24"/>
          <w:szCs w:val="24"/>
        </w:rPr>
        <w:t xml:space="preserve"> Fung instead of by Lin’s company or Lin himself, given that the defendant was dealing with a boss of a casino in Macau, any right thinking member of the community would consider such method of payment to be reasonable ground to believe that those money represented proceeds of an indictable offence. </w:t>
      </w:r>
    </w:p>
    <w:p w:rsidR="00E57DEB" w:rsidRDefault="00176C73" w:rsidP="00B614F6">
      <w:pPr>
        <w:pStyle w:val="ListParagraph"/>
        <w:tabs>
          <w:tab w:val="clear" w:pos="4320"/>
          <w:tab w:val="clear" w:pos="9072"/>
        </w:tabs>
        <w:snapToGrid/>
        <w:spacing w:before="240"/>
        <w:ind w:left="1440" w:right="746"/>
        <w:contextualSpacing w:val="0"/>
        <w:jc w:val="both"/>
        <w:rPr>
          <w:sz w:val="24"/>
          <w:szCs w:val="24"/>
        </w:rPr>
      </w:pPr>
      <w:r w:rsidRPr="00E57DEB">
        <w:rPr>
          <w:sz w:val="24"/>
          <w:szCs w:val="24"/>
        </w:rPr>
        <w:t xml:space="preserve">I further find that </w:t>
      </w:r>
      <w:r w:rsidRPr="00E57DEB">
        <w:rPr>
          <w:i/>
          <w:sz w:val="24"/>
          <w:szCs w:val="24"/>
        </w:rPr>
        <w:t>even if</w:t>
      </w:r>
      <w:r w:rsidRPr="00E57DEB">
        <w:rPr>
          <w:sz w:val="24"/>
          <w:szCs w:val="24"/>
        </w:rPr>
        <w:t xml:space="preserve"> the individuals were depositing money for Lin, in the case of the supposed investment in Stock Code 070, any right thinking person would pause and wonder why that was the case. </w:t>
      </w:r>
      <w:r w:rsidR="00843291" w:rsidRPr="00E57DEB">
        <w:rPr>
          <w:sz w:val="24"/>
          <w:szCs w:val="24"/>
        </w:rPr>
        <w:t xml:space="preserve"> </w:t>
      </w:r>
      <w:r w:rsidRPr="00E57DEB">
        <w:rPr>
          <w:sz w:val="24"/>
          <w:szCs w:val="24"/>
        </w:rPr>
        <w:t xml:space="preserve">The deposits were not small amounts and why would the majority shareholder of a listed company be repaying investment returns in the listed company by way of personal checks drawn on his staff member’s personal account? </w:t>
      </w:r>
      <w:r w:rsidR="00B614F6" w:rsidRPr="00E57DEB">
        <w:rPr>
          <w:sz w:val="24"/>
          <w:szCs w:val="24"/>
        </w:rPr>
        <w:t xml:space="preserve"> </w:t>
      </w:r>
      <w:proofErr w:type="gramStart"/>
      <w:r w:rsidRPr="00E57DEB">
        <w:rPr>
          <w:sz w:val="24"/>
          <w:szCs w:val="24"/>
        </w:rPr>
        <w:t>Or on a company with the staff member as directors or shareholders?</w:t>
      </w:r>
      <w:proofErr w:type="gramEnd"/>
      <w:r w:rsidRPr="00E57DEB">
        <w:rPr>
          <w:sz w:val="24"/>
          <w:szCs w:val="24"/>
        </w:rPr>
        <w:t xml:space="preserve"> </w:t>
      </w:r>
      <w:r w:rsidR="00B614F6" w:rsidRPr="00E57DEB">
        <w:rPr>
          <w:sz w:val="24"/>
          <w:szCs w:val="24"/>
        </w:rPr>
        <w:t xml:space="preserve"> </w:t>
      </w:r>
      <w:r w:rsidRPr="00E57DEB">
        <w:rPr>
          <w:sz w:val="24"/>
          <w:szCs w:val="24"/>
        </w:rPr>
        <w:t>I find that the same right thinking person would immediately have decided that there were reasonable grounds to believe that the money so deposited into the defendant’s and his father’s bank account represented wholly or in part, directly or indirectly pro</w:t>
      </w:r>
      <w:r w:rsidR="00B614F6" w:rsidRPr="00E57DEB">
        <w:rPr>
          <w:sz w:val="24"/>
          <w:szCs w:val="24"/>
        </w:rPr>
        <w:t>ceeds of an indictable offence.”</w:t>
      </w:r>
      <w:r w:rsidR="00CD33F8" w:rsidRPr="00E57DEB">
        <w:rPr>
          <w:sz w:val="24"/>
          <w:szCs w:val="24"/>
        </w:rPr>
        <w:t xml:space="preserve">  [Italics added.]</w:t>
      </w:r>
    </w:p>
    <w:p w:rsidR="00E57DEB" w:rsidRDefault="00E57DEB" w:rsidP="00E57DEB">
      <w:pPr>
        <w:pStyle w:val="ListParagraph"/>
        <w:tabs>
          <w:tab w:val="clear" w:pos="4320"/>
          <w:tab w:val="clear" w:pos="9072"/>
        </w:tabs>
        <w:snapToGrid/>
        <w:spacing w:line="80" w:lineRule="exact"/>
        <w:ind w:left="1454" w:right="835" w:hanging="187"/>
        <w:contextualSpacing w:val="0"/>
        <w:jc w:val="both"/>
        <w:rPr>
          <w:sz w:val="24"/>
          <w:szCs w:val="24"/>
        </w:rPr>
      </w:pPr>
    </w:p>
    <w:p w:rsidR="00B614F6" w:rsidRPr="00662BA1" w:rsidRDefault="00B614F6" w:rsidP="00E57DEB">
      <w:pPr>
        <w:pStyle w:val="ListParagraph"/>
        <w:tabs>
          <w:tab w:val="clear" w:pos="4320"/>
          <w:tab w:val="clear" w:pos="9072"/>
        </w:tabs>
        <w:snapToGrid/>
        <w:spacing w:line="80" w:lineRule="exact"/>
        <w:ind w:left="1454" w:right="835" w:hanging="187"/>
        <w:contextualSpacing w:val="0"/>
        <w:jc w:val="both"/>
        <w:rPr>
          <w:sz w:val="24"/>
          <w:szCs w:val="24"/>
        </w:rPr>
      </w:pPr>
    </w:p>
    <w:p w:rsidR="00176C73" w:rsidRPr="00662BA1" w:rsidRDefault="00176C73" w:rsidP="00B614F6">
      <w:pPr>
        <w:pStyle w:val="Final"/>
        <w:tabs>
          <w:tab w:val="clear" w:pos="4320"/>
          <w:tab w:val="clear" w:pos="9072"/>
        </w:tabs>
        <w:snapToGrid/>
        <w:spacing w:before="360"/>
        <w:jc w:val="both"/>
        <w:rPr>
          <w:i/>
          <w:szCs w:val="28"/>
        </w:rPr>
      </w:pPr>
      <w:r w:rsidRPr="00662BA1">
        <w:rPr>
          <w:i/>
          <w:szCs w:val="28"/>
        </w:rPr>
        <w:t>Conclusion</w:t>
      </w:r>
    </w:p>
    <w:p w:rsidR="00176C73" w:rsidRPr="00662BA1" w:rsidRDefault="00052537" w:rsidP="00B614F6">
      <w:pPr>
        <w:pStyle w:val="Final"/>
        <w:tabs>
          <w:tab w:val="clear" w:pos="4320"/>
          <w:tab w:val="clear" w:pos="9072"/>
        </w:tabs>
        <w:snapToGrid/>
        <w:spacing w:before="360"/>
        <w:jc w:val="both"/>
        <w:rPr>
          <w:szCs w:val="28"/>
        </w:rPr>
      </w:pPr>
      <w:r w:rsidRPr="00662BA1">
        <w:rPr>
          <w:szCs w:val="28"/>
        </w:rPr>
        <w:fldChar w:fldCharType="begin"/>
      </w:r>
      <w:r w:rsidR="00B614F6" w:rsidRPr="00662BA1">
        <w:rPr>
          <w:szCs w:val="28"/>
        </w:rPr>
        <w:instrText xml:space="preserve"> AUTONUMOUT  </w:instrText>
      </w:r>
      <w:r w:rsidRPr="00662BA1">
        <w:rPr>
          <w:szCs w:val="28"/>
        </w:rPr>
        <w:fldChar w:fldCharType="end"/>
      </w:r>
      <w:r w:rsidR="00B614F6" w:rsidRPr="00662BA1">
        <w:rPr>
          <w:szCs w:val="28"/>
        </w:rPr>
        <w:tab/>
      </w:r>
      <w:r w:rsidR="00176C73" w:rsidRPr="00662BA1">
        <w:rPr>
          <w:szCs w:val="28"/>
        </w:rPr>
        <w:t xml:space="preserve">We are satisfied that in addressing the issue of whether or not the applicant had reasonable grounds to believe that the monies with which he dealt in each of the accounts were the proceeds of an indictable offence, and in making affirmative findings, the judge considered all of the relevant evidence and did so in the appropriate way. </w:t>
      </w:r>
      <w:r w:rsidR="00B614F6" w:rsidRPr="00662BA1">
        <w:rPr>
          <w:szCs w:val="28"/>
        </w:rPr>
        <w:t xml:space="preserve"> </w:t>
      </w:r>
      <w:r w:rsidR="00176C73" w:rsidRPr="00662BA1">
        <w:rPr>
          <w:szCs w:val="28"/>
        </w:rPr>
        <w:t>In particular, he had r</w:t>
      </w:r>
      <w:r w:rsidR="00B614F6" w:rsidRPr="00662BA1">
        <w:rPr>
          <w:szCs w:val="28"/>
        </w:rPr>
        <w:t>egard not only to the applicant’</w:t>
      </w:r>
      <w:r w:rsidR="00176C73" w:rsidRPr="00662BA1">
        <w:rPr>
          <w:szCs w:val="28"/>
        </w:rPr>
        <w:t xml:space="preserve">s evidence of his explanations and reasons for the various deposits but also to his evidence as to what he was told and what he believed or understood in respect of those deposits. </w:t>
      </w:r>
      <w:r w:rsidR="00B614F6" w:rsidRPr="00662BA1">
        <w:rPr>
          <w:szCs w:val="28"/>
        </w:rPr>
        <w:t xml:space="preserve"> </w:t>
      </w:r>
      <w:r w:rsidR="00176C73" w:rsidRPr="00662BA1">
        <w:rPr>
          <w:szCs w:val="28"/>
        </w:rPr>
        <w:t>As noted earlier, o</w:t>
      </w:r>
      <w:r w:rsidR="00B614F6" w:rsidRPr="00662BA1">
        <w:rPr>
          <w:szCs w:val="28"/>
        </w:rPr>
        <w:t xml:space="preserve">f those circumstances </w:t>
      </w:r>
      <w:proofErr w:type="spellStart"/>
      <w:r w:rsidR="00B614F6" w:rsidRPr="00662BA1">
        <w:rPr>
          <w:szCs w:val="28"/>
        </w:rPr>
        <w:t>Spigelman</w:t>
      </w:r>
      <w:proofErr w:type="spellEnd"/>
      <w:r w:rsidR="00B614F6" w:rsidRPr="00662BA1">
        <w:rPr>
          <w:szCs w:val="28"/>
        </w:rPr>
        <w:t> </w:t>
      </w:r>
      <w:r w:rsidR="00176C73" w:rsidRPr="00662BA1">
        <w:rPr>
          <w:szCs w:val="28"/>
        </w:rPr>
        <w:t>NPJ said:</w:t>
      </w:r>
      <w:r w:rsidR="00176C73" w:rsidRPr="00662BA1">
        <w:rPr>
          <w:rStyle w:val="FootnoteReference"/>
          <w:szCs w:val="28"/>
        </w:rPr>
        <w:footnoteReference w:id="129"/>
      </w:r>
    </w:p>
    <w:p w:rsidR="00B614F6" w:rsidRPr="00662BA1" w:rsidRDefault="00B614F6" w:rsidP="00B614F6">
      <w:pPr>
        <w:pStyle w:val="Final"/>
        <w:tabs>
          <w:tab w:val="clear" w:pos="4320"/>
          <w:tab w:val="clear" w:pos="9072"/>
          <w:tab w:val="left" w:pos="2074"/>
        </w:tabs>
        <w:snapToGrid/>
        <w:spacing w:before="240" w:line="240" w:lineRule="auto"/>
        <w:ind w:left="1454" w:right="835" w:hanging="187"/>
        <w:jc w:val="both"/>
        <w:rPr>
          <w:sz w:val="24"/>
          <w:szCs w:val="24"/>
        </w:rPr>
      </w:pPr>
      <w:r w:rsidRPr="00662BA1">
        <w:rPr>
          <w:sz w:val="24"/>
          <w:szCs w:val="24"/>
        </w:rPr>
        <w:t>“</w:t>
      </w:r>
      <w:r w:rsidRPr="00662BA1">
        <w:rPr>
          <w:sz w:val="24"/>
          <w:szCs w:val="24"/>
        </w:rPr>
        <w:tab/>
      </w:r>
      <w:r w:rsidR="00176C73" w:rsidRPr="00662BA1">
        <w:rPr>
          <w:sz w:val="24"/>
          <w:szCs w:val="24"/>
        </w:rPr>
        <w:t xml:space="preserve">When assessing the whole of the evidence, the judge or jury can give such weight to an </w:t>
      </w:r>
      <w:proofErr w:type="spellStart"/>
      <w:r w:rsidR="00176C73" w:rsidRPr="00662BA1">
        <w:rPr>
          <w:sz w:val="24"/>
          <w:szCs w:val="24"/>
        </w:rPr>
        <w:t>accused’s</w:t>
      </w:r>
      <w:proofErr w:type="spellEnd"/>
      <w:r w:rsidR="00176C73" w:rsidRPr="00662BA1">
        <w:rPr>
          <w:sz w:val="24"/>
          <w:szCs w:val="24"/>
        </w:rPr>
        <w:t xml:space="preserve"> belief, perception or prejudice as s/he believes is warranted. No doubt, in many cases the decision maker will entirely discoun</w:t>
      </w:r>
      <w:r w:rsidRPr="00662BA1">
        <w:rPr>
          <w:sz w:val="24"/>
          <w:szCs w:val="24"/>
        </w:rPr>
        <w:t>t such evidence of the accused.”</w:t>
      </w:r>
    </w:p>
    <w:p w:rsidR="00B614F6" w:rsidRPr="00662BA1" w:rsidRDefault="00B614F6" w:rsidP="00B614F6">
      <w:pPr>
        <w:pStyle w:val="Final"/>
        <w:tabs>
          <w:tab w:val="clear" w:pos="4320"/>
          <w:tab w:val="clear" w:pos="9072"/>
          <w:tab w:val="left" w:pos="2074"/>
        </w:tabs>
        <w:snapToGrid/>
        <w:spacing w:line="80" w:lineRule="exact"/>
        <w:ind w:left="1454" w:right="835" w:hanging="187"/>
        <w:jc w:val="both"/>
        <w:rPr>
          <w:sz w:val="24"/>
          <w:szCs w:val="24"/>
        </w:rPr>
      </w:pPr>
    </w:p>
    <w:p w:rsidR="00176C73" w:rsidRPr="00662BA1" w:rsidRDefault="00176C73" w:rsidP="00B614F6">
      <w:pPr>
        <w:pStyle w:val="Final"/>
        <w:tabs>
          <w:tab w:val="clear" w:pos="4320"/>
          <w:tab w:val="clear" w:pos="9072"/>
          <w:tab w:val="left" w:pos="2074"/>
        </w:tabs>
        <w:snapToGrid/>
        <w:spacing w:line="80" w:lineRule="exact"/>
        <w:ind w:left="1454" w:right="835" w:hanging="187"/>
        <w:jc w:val="both"/>
        <w:rPr>
          <w:sz w:val="24"/>
          <w:szCs w:val="24"/>
        </w:rPr>
      </w:pPr>
    </w:p>
    <w:p w:rsidR="00FC3D5B" w:rsidRDefault="00176C73" w:rsidP="00701E7F">
      <w:pPr>
        <w:pStyle w:val="Final"/>
        <w:tabs>
          <w:tab w:val="clear" w:pos="4320"/>
          <w:tab w:val="clear" w:pos="9072"/>
        </w:tabs>
        <w:spacing w:before="120" w:after="120"/>
        <w:jc w:val="both"/>
        <w:rPr>
          <w:i/>
          <w:szCs w:val="28"/>
        </w:rPr>
      </w:pPr>
      <w:r w:rsidRPr="00662BA1">
        <w:rPr>
          <w:szCs w:val="28"/>
        </w:rPr>
        <w:t>T</w:t>
      </w:r>
      <w:r w:rsidR="00B614F6" w:rsidRPr="00662BA1">
        <w:rPr>
          <w:szCs w:val="28"/>
        </w:rPr>
        <w:t>he judge rejected the applicant’</w:t>
      </w:r>
      <w:r w:rsidRPr="00662BA1">
        <w:rPr>
          <w:szCs w:val="28"/>
        </w:rPr>
        <w:t>s testimony.</w:t>
      </w:r>
      <w:r w:rsidR="00B614F6" w:rsidRPr="00662BA1">
        <w:rPr>
          <w:szCs w:val="28"/>
        </w:rPr>
        <w:t xml:space="preserve"> </w:t>
      </w:r>
      <w:r w:rsidRPr="00662BA1">
        <w:rPr>
          <w:szCs w:val="28"/>
        </w:rPr>
        <w:t xml:space="preserve"> He was entitled to do so.</w:t>
      </w:r>
    </w:p>
    <w:p w:rsidR="00176C73" w:rsidRPr="00662BA1" w:rsidRDefault="00176C73" w:rsidP="00B614F6">
      <w:pPr>
        <w:pStyle w:val="Final"/>
        <w:tabs>
          <w:tab w:val="clear" w:pos="4320"/>
          <w:tab w:val="clear" w:pos="9072"/>
        </w:tabs>
        <w:spacing w:before="360"/>
        <w:jc w:val="both"/>
        <w:rPr>
          <w:i/>
          <w:szCs w:val="28"/>
        </w:rPr>
      </w:pPr>
      <w:r w:rsidRPr="00662BA1">
        <w:rPr>
          <w:i/>
          <w:szCs w:val="28"/>
        </w:rPr>
        <w:t>Other Grounds of Appeal</w:t>
      </w:r>
    </w:p>
    <w:p w:rsidR="00176C73" w:rsidRPr="00662BA1" w:rsidRDefault="00176C73" w:rsidP="00B614F6">
      <w:pPr>
        <w:pStyle w:val="Final"/>
        <w:tabs>
          <w:tab w:val="clear" w:pos="4320"/>
          <w:tab w:val="clear" w:pos="9072"/>
        </w:tabs>
        <w:spacing w:before="120"/>
        <w:jc w:val="both"/>
        <w:rPr>
          <w:i/>
          <w:szCs w:val="28"/>
        </w:rPr>
      </w:pPr>
      <w:r w:rsidRPr="00662BA1">
        <w:rPr>
          <w:i/>
          <w:szCs w:val="28"/>
        </w:rPr>
        <w:t>Neptune Club and Massive Resources</w:t>
      </w:r>
    </w:p>
    <w:p w:rsidR="00B614F6" w:rsidRPr="00662BA1" w:rsidRDefault="00052537" w:rsidP="00B614F6">
      <w:pPr>
        <w:pStyle w:val="Final"/>
        <w:tabs>
          <w:tab w:val="clear" w:pos="4320"/>
          <w:tab w:val="clear" w:pos="9072"/>
        </w:tabs>
        <w:snapToGrid/>
        <w:spacing w:before="360"/>
        <w:jc w:val="both"/>
        <w:rPr>
          <w:szCs w:val="28"/>
        </w:rPr>
      </w:pPr>
      <w:r w:rsidRPr="00662BA1">
        <w:rPr>
          <w:szCs w:val="28"/>
        </w:rPr>
        <w:fldChar w:fldCharType="begin"/>
      </w:r>
      <w:r w:rsidR="00B614F6" w:rsidRPr="00662BA1">
        <w:rPr>
          <w:szCs w:val="28"/>
        </w:rPr>
        <w:instrText xml:space="preserve"> AUTONUMOUT  </w:instrText>
      </w:r>
      <w:r w:rsidRPr="00662BA1">
        <w:rPr>
          <w:szCs w:val="28"/>
        </w:rPr>
        <w:fldChar w:fldCharType="end"/>
      </w:r>
      <w:r w:rsidR="00B614F6" w:rsidRPr="00662BA1">
        <w:rPr>
          <w:szCs w:val="28"/>
        </w:rPr>
        <w:tab/>
      </w:r>
      <w:r w:rsidR="00176C73" w:rsidRPr="00662BA1">
        <w:rPr>
          <w:szCs w:val="28"/>
        </w:rPr>
        <w:t>In the course of his evidence-in-chief, in addressing the provenance of deposits into the five bank accounts, the applicant explained that various deposits made by stipulated depositors into some of those accounts were made by way of repayment of two investments that he and his father had made in early 2005.</w:t>
      </w:r>
      <w:r w:rsidR="00176C73" w:rsidRPr="00662BA1">
        <w:rPr>
          <w:rStyle w:val="FootnoteReference"/>
          <w:szCs w:val="28"/>
        </w:rPr>
        <w:footnoteReference w:id="130"/>
      </w:r>
      <w:r w:rsidR="00176C73" w:rsidRPr="00662BA1">
        <w:rPr>
          <w:szCs w:val="28"/>
        </w:rPr>
        <w:t xml:space="preserve"> </w:t>
      </w:r>
      <w:r w:rsidR="00B614F6" w:rsidRPr="00662BA1">
        <w:rPr>
          <w:szCs w:val="28"/>
        </w:rPr>
        <w:t xml:space="preserve"> First, of $20 </w:t>
      </w:r>
      <w:r w:rsidR="00176C73" w:rsidRPr="00662BA1">
        <w:rPr>
          <w:szCs w:val="28"/>
        </w:rPr>
        <w:t xml:space="preserve">million in the Neptune Club, </w:t>
      </w:r>
      <w:proofErr w:type="gramStart"/>
      <w:r w:rsidR="00176C73" w:rsidRPr="00662BA1">
        <w:rPr>
          <w:szCs w:val="28"/>
        </w:rPr>
        <w:t xml:space="preserve">which operated VIP gaming tables in several rooms at the old </w:t>
      </w:r>
      <w:proofErr w:type="spellStart"/>
      <w:r w:rsidR="00176C73" w:rsidRPr="00662BA1">
        <w:rPr>
          <w:szCs w:val="28"/>
        </w:rPr>
        <w:t>Lisboa</w:t>
      </w:r>
      <w:proofErr w:type="spellEnd"/>
      <w:r w:rsidR="00176C73" w:rsidRPr="00662BA1">
        <w:rPr>
          <w:szCs w:val="28"/>
        </w:rPr>
        <w:t xml:space="preserve"> Casino.</w:t>
      </w:r>
      <w:proofErr w:type="gramEnd"/>
      <w:r w:rsidR="00176C73" w:rsidRPr="00662BA1">
        <w:rPr>
          <w:szCs w:val="28"/>
        </w:rPr>
        <w:t xml:space="preserve"> </w:t>
      </w:r>
      <w:r w:rsidR="00B614F6" w:rsidRPr="00662BA1">
        <w:rPr>
          <w:szCs w:val="28"/>
        </w:rPr>
        <w:t xml:space="preserve"> </w:t>
      </w:r>
      <w:r w:rsidR="00176C73" w:rsidRPr="00662BA1">
        <w:rPr>
          <w:szCs w:val="28"/>
        </w:rPr>
        <w:t>In that investment he and his father did not become shareholders, rather they deposited money for payment of interest.</w:t>
      </w:r>
      <w:r w:rsidR="00176C73" w:rsidRPr="00662BA1">
        <w:rPr>
          <w:rStyle w:val="FootnoteReference"/>
          <w:szCs w:val="28"/>
        </w:rPr>
        <w:footnoteReference w:id="131"/>
      </w:r>
      <w:r w:rsidR="00176C73" w:rsidRPr="00662BA1">
        <w:rPr>
          <w:szCs w:val="28"/>
        </w:rPr>
        <w:t xml:space="preserve"> </w:t>
      </w:r>
      <w:r w:rsidR="00B614F6" w:rsidRPr="00662BA1">
        <w:rPr>
          <w:szCs w:val="28"/>
        </w:rPr>
        <w:t xml:space="preserve"> Secondly, of $26.4 </w:t>
      </w:r>
      <w:r w:rsidR="00176C73" w:rsidRPr="00662BA1">
        <w:rPr>
          <w:szCs w:val="28"/>
        </w:rPr>
        <w:t xml:space="preserve">million paid to Lin </w:t>
      </w:r>
      <w:proofErr w:type="spellStart"/>
      <w:r w:rsidR="00176C73" w:rsidRPr="00662BA1">
        <w:rPr>
          <w:szCs w:val="28"/>
        </w:rPr>
        <w:t>Cheuk</w:t>
      </w:r>
      <w:proofErr w:type="spellEnd"/>
      <w:r w:rsidR="00176C73" w:rsidRPr="00662BA1">
        <w:rPr>
          <w:szCs w:val="28"/>
        </w:rPr>
        <w:t xml:space="preserve"> Fung for 20% of the shares of Massive Resources.</w:t>
      </w:r>
      <w:r w:rsidR="00176C73" w:rsidRPr="00662BA1">
        <w:rPr>
          <w:rStyle w:val="FootnoteReference"/>
          <w:szCs w:val="28"/>
        </w:rPr>
        <w:footnoteReference w:id="132"/>
      </w:r>
      <w:r w:rsidR="00B614F6" w:rsidRPr="00662BA1">
        <w:rPr>
          <w:szCs w:val="28"/>
        </w:rPr>
        <w:t xml:space="preserve">  </w:t>
      </w:r>
      <w:r w:rsidR="00176C73" w:rsidRPr="00662BA1">
        <w:rPr>
          <w:szCs w:val="28"/>
        </w:rPr>
        <w:t xml:space="preserve">However, no shares were transferred or registered in his </w:t>
      </w:r>
      <w:proofErr w:type="gramStart"/>
      <w:r w:rsidR="00176C73" w:rsidRPr="00662BA1">
        <w:rPr>
          <w:szCs w:val="28"/>
        </w:rPr>
        <w:t>name,</w:t>
      </w:r>
      <w:proofErr w:type="gramEnd"/>
      <w:r w:rsidR="00176C73" w:rsidRPr="00662BA1">
        <w:rPr>
          <w:szCs w:val="28"/>
        </w:rPr>
        <w:t xml:space="preserve"> rather Lin </w:t>
      </w:r>
      <w:proofErr w:type="spellStart"/>
      <w:r w:rsidR="00176C73" w:rsidRPr="00662BA1">
        <w:rPr>
          <w:szCs w:val="28"/>
        </w:rPr>
        <w:t>Cheuk</w:t>
      </w:r>
      <w:proofErr w:type="spellEnd"/>
      <w:r w:rsidR="00176C73" w:rsidRPr="00662BA1">
        <w:rPr>
          <w:szCs w:val="28"/>
        </w:rPr>
        <w:t xml:space="preserve"> Fung held them as trustee.</w:t>
      </w:r>
      <w:r w:rsidR="00176C73" w:rsidRPr="00662BA1">
        <w:rPr>
          <w:rStyle w:val="FootnoteReference"/>
          <w:szCs w:val="28"/>
        </w:rPr>
        <w:footnoteReference w:id="133"/>
      </w:r>
      <w:r w:rsidR="00B614F6" w:rsidRPr="00662BA1">
        <w:rPr>
          <w:szCs w:val="28"/>
        </w:rPr>
        <w:t xml:space="preserve">  </w:t>
      </w:r>
      <w:r w:rsidR="00176C73" w:rsidRPr="00662BA1">
        <w:rPr>
          <w:szCs w:val="28"/>
        </w:rPr>
        <w:t>The</w:t>
      </w:r>
      <w:r w:rsidR="00B614F6" w:rsidRPr="00662BA1">
        <w:rPr>
          <w:szCs w:val="28"/>
        </w:rPr>
        <w:t xml:space="preserve"> applicant said that he was Lin’s “shareholder behind the scene”</w:t>
      </w:r>
      <w:r w:rsidR="00176C73" w:rsidRPr="00662BA1">
        <w:rPr>
          <w:szCs w:val="28"/>
        </w:rPr>
        <w:t>.</w:t>
      </w:r>
      <w:r w:rsidR="00176C73" w:rsidRPr="00662BA1">
        <w:rPr>
          <w:rStyle w:val="FootnoteReference"/>
          <w:szCs w:val="28"/>
        </w:rPr>
        <w:footnoteReference w:id="134"/>
      </w:r>
      <w:r w:rsidR="00176C73" w:rsidRPr="00662BA1">
        <w:rPr>
          <w:szCs w:val="28"/>
        </w:rPr>
        <w:t xml:space="preserve"> </w:t>
      </w:r>
      <w:r w:rsidR="00B614F6" w:rsidRPr="00662BA1">
        <w:rPr>
          <w:szCs w:val="28"/>
        </w:rPr>
        <w:t xml:space="preserve"> </w:t>
      </w:r>
      <w:r w:rsidR="00176C73" w:rsidRPr="00662BA1">
        <w:rPr>
          <w:szCs w:val="28"/>
        </w:rPr>
        <w:t>Of the latter investment, the judge noted that the applicant testified that there were documents evidencing the acquisition of that tranche of shares, although none had survived.</w:t>
      </w:r>
      <w:r w:rsidR="00176C73" w:rsidRPr="00662BA1">
        <w:rPr>
          <w:rStyle w:val="FootnoteReference"/>
          <w:szCs w:val="28"/>
        </w:rPr>
        <w:footnoteReference w:id="135"/>
      </w:r>
      <w:r w:rsidR="00176C73" w:rsidRPr="00662BA1">
        <w:rPr>
          <w:szCs w:val="28"/>
        </w:rPr>
        <w:t xml:space="preserve">   </w:t>
      </w:r>
    </w:p>
    <w:p w:rsidR="00176C73" w:rsidRPr="00662BA1" w:rsidRDefault="00052537" w:rsidP="00B614F6">
      <w:pPr>
        <w:pStyle w:val="Final"/>
        <w:tabs>
          <w:tab w:val="clear" w:pos="4320"/>
          <w:tab w:val="clear" w:pos="9072"/>
        </w:tabs>
        <w:snapToGrid/>
        <w:spacing w:before="360"/>
        <w:jc w:val="both"/>
        <w:rPr>
          <w:szCs w:val="28"/>
        </w:rPr>
      </w:pPr>
      <w:r w:rsidRPr="00662BA1">
        <w:rPr>
          <w:szCs w:val="28"/>
        </w:rPr>
        <w:fldChar w:fldCharType="begin"/>
      </w:r>
      <w:r w:rsidR="00B614F6" w:rsidRPr="00662BA1">
        <w:rPr>
          <w:szCs w:val="28"/>
        </w:rPr>
        <w:instrText xml:space="preserve"> AUTONUMOUT  </w:instrText>
      </w:r>
      <w:r w:rsidRPr="00662BA1">
        <w:rPr>
          <w:szCs w:val="28"/>
        </w:rPr>
        <w:fldChar w:fldCharType="end"/>
      </w:r>
      <w:r w:rsidR="00B614F6" w:rsidRPr="00662BA1">
        <w:rPr>
          <w:szCs w:val="28"/>
        </w:rPr>
        <w:tab/>
      </w:r>
      <w:r w:rsidR="00176C73" w:rsidRPr="00662BA1">
        <w:rPr>
          <w:szCs w:val="28"/>
        </w:rPr>
        <w:t>Of the alleged payments of interest and return of capital arising from the $20 million inv</w:t>
      </w:r>
      <w:r w:rsidR="00B614F6" w:rsidRPr="00662BA1">
        <w:rPr>
          <w:szCs w:val="28"/>
        </w:rPr>
        <w:t>estment which, on the applicant’</w:t>
      </w:r>
      <w:r w:rsidR="00176C73" w:rsidRPr="00662BA1">
        <w:rPr>
          <w:szCs w:val="28"/>
        </w:rPr>
        <w:t xml:space="preserve">s testimony, began as early as April 2005 the judge noted </w:t>
      </w:r>
      <w:proofErr w:type="gramStart"/>
      <w:r w:rsidR="00176C73" w:rsidRPr="00662BA1">
        <w:rPr>
          <w:szCs w:val="28"/>
        </w:rPr>
        <w:t>that :</w:t>
      </w:r>
      <w:proofErr w:type="gramEnd"/>
      <w:r w:rsidR="00176C73" w:rsidRPr="00662BA1">
        <w:rPr>
          <w:rStyle w:val="FootnoteReference"/>
          <w:szCs w:val="28"/>
        </w:rPr>
        <w:footnoteReference w:id="136"/>
      </w:r>
    </w:p>
    <w:p w:rsidR="00AC2E71" w:rsidRDefault="00B614F6" w:rsidP="00AC2E71">
      <w:pPr>
        <w:pStyle w:val="ListParagraph"/>
        <w:tabs>
          <w:tab w:val="clear" w:pos="1440"/>
          <w:tab w:val="clear" w:pos="4320"/>
          <w:tab w:val="clear" w:pos="9072"/>
          <w:tab w:val="left" w:pos="2074"/>
        </w:tabs>
        <w:snapToGrid/>
        <w:spacing w:before="240"/>
        <w:ind w:left="1454" w:right="835" w:hanging="187"/>
        <w:jc w:val="both"/>
        <w:rPr>
          <w:sz w:val="24"/>
          <w:szCs w:val="24"/>
        </w:rPr>
      </w:pPr>
      <w:r w:rsidRPr="00662BA1">
        <w:rPr>
          <w:sz w:val="24"/>
          <w:szCs w:val="24"/>
        </w:rPr>
        <w:t>“</w:t>
      </w:r>
      <w:r w:rsidRPr="00662BA1">
        <w:rPr>
          <w:sz w:val="24"/>
          <w:szCs w:val="24"/>
        </w:rPr>
        <w:tab/>
      </w:r>
      <w:r w:rsidR="00176C73" w:rsidRPr="00662BA1">
        <w:rPr>
          <w:sz w:val="24"/>
          <w:szCs w:val="24"/>
        </w:rPr>
        <w:t xml:space="preserve">The check payments were from staff members or directors of Neptune Group and companies associated with Neptune Group, as well as direct payments by Cheung Chi Tai. </w:t>
      </w:r>
      <w:r w:rsidRPr="00662BA1">
        <w:rPr>
          <w:sz w:val="24"/>
          <w:szCs w:val="24"/>
        </w:rPr>
        <w:t xml:space="preserve"> </w:t>
      </w:r>
      <w:r w:rsidR="00176C73" w:rsidRPr="00662BA1">
        <w:rPr>
          <w:sz w:val="24"/>
          <w:szCs w:val="24"/>
        </w:rPr>
        <w:t xml:space="preserve">They included individuals Tang </w:t>
      </w:r>
      <w:proofErr w:type="spellStart"/>
      <w:r w:rsidR="00176C73" w:rsidRPr="00662BA1">
        <w:rPr>
          <w:sz w:val="24"/>
          <w:szCs w:val="24"/>
        </w:rPr>
        <w:t>Wai</w:t>
      </w:r>
      <w:proofErr w:type="spellEnd"/>
      <w:r w:rsidR="00176C73" w:rsidRPr="00662BA1">
        <w:rPr>
          <w:sz w:val="24"/>
          <w:szCs w:val="24"/>
        </w:rPr>
        <w:t xml:space="preserve"> Yee, Yu Sin Tung, Chan Chun </w:t>
      </w:r>
      <w:proofErr w:type="spellStart"/>
      <w:r w:rsidR="00176C73" w:rsidRPr="00662BA1">
        <w:rPr>
          <w:sz w:val="24"/>
          <w:szCs w:val="24"/>
        </w:rPr>
        <w:t>Shing</w:t>
      </w:r>
      <w:proofErr w:type="spellEnd"/>
      <w:r w:rsidR="00176C73" w:rsidRPr="00662BA1">
        <w:rPr>
          <w:sz w:val="24"/>
          <w:szCs w:val="24"/>
        </w:rPr>
        <w:t xml:space="preserve">, </w:t>
      </w:r>
      <w:proofErr w:type="gramStart"/>
      <w:r w:rsidR="00176C73" w:rsidRPr="00662BA1">
        <w:rPr>
          <w:sz w:val="24"/>
          <w:szCs w:val="24"/>
        </w:rPr>
        <w:t>Wong</w:t>
      </w:r>
      <w:proofErr w:type="gramEnd"/>
      <w:r w:rsidR="00176C73" w:rsidRPr="00662BA1">
        <w:rPr>
          <w:sz w:val="24"/>
          <w:szCs w:val="24"/>
        </w:rPr>
        <w:t xml:space="preserve"> Kin Kwok, Lo Kwan and Amy Leung </w:t>
      </w:r>
      <w:proofErr w:type="spellStart"/>
      <w:r w:rsidR="00176C73" w:rsidRPr="00662BA1">
        <w:rPr>
          <w:sz w:val="24"/>
          <w:szCs w:val="24"/>
        </w:rPr>
        <w:t>Yim</w:t>
      </w:r>
      <w:proofErr w:type="spellEnd"/>
      <w:r w:rsidR="00176C73" w:rsidRPr="00662BA1">
        <w:rPr>
          <w:sz w:val="24"/>
          <w:szCs w:val="24"/>
        </w:rPr>
        <w:t xml:space="preserve"> Fun and companies </w:t>
      </w:r>
      <w:proofErr w:type="spellStart"/>
      <w:r w:rsidR="00176C73" w:rsidRPr="00662BA1">
        <w:rPr>
          <w:sz w:val="24"/>
          <w:szCs w:val="24"/>
        </w:rPr>
        <w:t>LuckyTex</w:t>
      </w:r>
      <w:proofErr w:type="spellEnd"/>
      <w:r w:rsidR="00176C73" w:rsidRPr="00662BA1">
        <w:rPr>
          <w:sz w:val="24"/>
          <w:szCs w:val="24"/>
        </w:rPr>
        <w:t xml:space="preserve">, Asia Time, Up Sky, </w:t>
      </w:r>
      <w:proofErr w:type="spellStart"/>
      <w:r w:rsidR="00176C73" w:rsidRPr="00662BA1">
        <w:rPr>
          <w:sz w:val="24"/>
          <w:szCs w:val="24"/>
        </w:rPr>
        <w:t>WinCon</w:t>
      </w:r>
      <w:proofErr w:type="spellEnd"/>
      <w:r w:rsidR="00176C73" w:rsidRPr="00662BA1">
        <w:rPr>
          <w:sz w:val="24"/>
          <w:szCs w:val="24"/>
        </w:rPr>
        <w:t xml:space="preserve"> and </w:t>
      </w:r>
      <w:proofErr w:type="spellStart"/>
      <w:r w:rsidR="00176C73" w:rsidRPr="00662BA1">
        <w:rPr>
          <w:sz w:val="24"/>
          <w:szCs w:val="24"/>
        </w:rPr>
        <w:t>Artune</w:t>
      </w:r>
      <w:proofErr w:type="spellEnd"/>
      <w:r w:rsidR="00176C73" w:rsidRPr="00662BA1">
        <w:rPr>
          <w:sz w:val="24"/>
          <w:szCs w:val="24"/>
        </w:rPr>
        <w:t xml:space="preserve"> Group.</w:t>
      </w:r>
      <w:r w:rsidRPr="00662BA1">
        <w:rPr>
          <w:sz w:val="24"/>
          <w:szCs w:val="24"/>
        </w:rPr>
        <w:t>”</w:t>
      </w:r>
    </w:p>
    <w:p w:rsidR="00AC2E71" w:rsidRDefault="00AC2E71" w:rsidP="00AC2E71">
      <w:pPr>
        <w:pStyle w:val="ListParagraph"/>
        <w:tabs>
          <w:tab w:val="clear" w:pos="1440"/>
          <w:tab w:val="clear" w:pos="4320"/>
          <w:tab w:val="clear" w:pos="9072"/>
          <w:tab w:val="left" w:pos="2074"/>
        </w:tabs>
        <w:snapToGrid/>
        <w:spacing w:line="80" w:lineRule="exact"/>
        <w:ind w:left="1454" w:right="835" w:hanging="187"/>
        <w:jc w:val="both"/>
        <w:rPr>
          <w:sz w:val="24"/>
          <w:szCs w:val="24"/>
        </w:rPr>
      </w:pPr>
    </w:p>
    <w:p w:rsidR="00AC2E71" w:rsidRDefault="00AC2E71" w:rsidP="00AC2E71">
      <w:pPr>
        <w:pStyle w:val="ListParagraph"/>
        <w:tabs>
          <w:tab w:val="clear" w:pos="1440"/>
          <w:tab w:val="clear" w:pos="4320"/>
          <w:tab w:val="clear" w:pos="9072"/>
          <w:tab w:val="left" w:pos="2074"/>
        </w:tabs>
        <w:snapToGrid/>
        <w:spacing w:line="80" w:lineRule="exact"/>
        <w:ind w:left="1454" w:right="835" w:hanging="187"/>
        <w:jc w:val="both"/>
        <w:rPr>
          <w:sz w:val="24"/>
          <w:szCs w:val="24"/>
        </w:rPr>
      </w:pPr>
    </w:p>
    <w:p w:rsidR="00B614F6" w:rsidRPr="00662BA1" w:rsidRDefault="00052537" w:rsidP="00B614F6">
      <w:pPr>
        <w:pStyle w:val="ListParagraph"/>
        <w:tabs>
          <w:tab w:val="clear" w:pos="4320"/>
          <w:tab w:val="clear" w:pos="9072"/>
          <w:tab w:val="left" w:pos="2074"/>
        </w:tabs>
        <w:snapToGrid/>
        <w:spacing w:before="360" w:line="360" w:lineRule="auto"/>
        <w:ind w:left="0"/>
        <w:contextualSpacing w:val="0"/>
        <w:jc w:val="both"/>
        <w:rPr>
          <w:szCs w:val="28"/>
        </w:rPr>
      </w:pPr>
      <w:r w:rsidRPr="00662BA1">
        <w:rPr>
          <w:szCs w:val="24"/>
        </w:rPr>
        <w:fldChar w:fldCharType="begin"/>
      </w:r>
      <w:r w:rsidR="00B614F6" w:rsidRPr="00662BA1">
        <w:rPr>
          <w:szCs w:val="24"/>
        </w:rPr>
        <w:instrText xml:space="preserve"> AUTONUMOUT  </w:instrText>
      </w:r>
      <w:r w:rsidRPr="00662BA1">
        <w:rPr>
          <w:szCs w:val="24"/>
        </w:rPr>
        <w:fldChar w:fldCharType="end"/>
      </w:r>
      <w:r w:rsidR="00B614F6" w:rsidRPr="00662BA1">
        <w:rPr>
          <w:szCs w:val="24"/>
        </w:rPr>
        <w:tab/>
      </w:r>
      <w:r w:rsidR="00176C73" w:rsidRPr="00662BA1">
        <w:rPr>
          <w:szCs w:val="28"/>
        </w:rPr>
        <w:t xml:space="preserve">Similarly, the judge </w:t>
      </w:r>
      <w:r w:rsidR="00B614F6" w:rsidRPr="00662BA1">
        <w:rPr>
          <w:szCs w:val="28"/>
        </w:rPr>
        <w:t>noted that it was the applicant’</w:t>
      </w:r>
      <w:r w:rsidR="00176C73" w:rsidRPr="00662BA1">
        <w:rPr>
          <w:szCs w:val="28"/>
        </w:rPr>
        <w:t>s testimony that the payments allegedly made to the applicant and his father in respect of the sale of their interest in their tranche of shares in</w:t>
      </w:r>
      <w:r w:rsidR="00B614F6" w:rsidRPr="00662BA1">
        <w:rPr>
          <w:szCs w:val="28"/>
        </w:rPr>
        <w:t xml:space="preserve"> Massive Resources was made by “staff members of Neptune”.</w:t>
      </w:r>
      <w:r w:rsidR="00176C73" w:rsidRPr="00662BA1">
        <w:rPr>
          <w:rStyle w:val="FootnoteReference"/>
          <w:szCs w:val="28"/>
        </w:rPr>
        <w:footnoteReference w:id="137"/>
      </w:r>
      <w:r w:rsidR="00176C73" w:rsidRPr="00662BA1">
        <w:rPr>
          <w:szCs w:val="28"/>
        </w:rPr>
        <w:t xml:space="preserve"> </w:t>
      </w:r>
      <w:r w:rsidR="00B614F6" w:rsidRPr="00662BA1">
        <w:rPr>
          <w:szCs w:val="28"/>
        </w:rPr>
        <w:t xml:space="preserve"> </w:t>
      </w:r>
      <w:r w:rsidR="00176C73" w:rsidRPr="00662BA1">
        <w:rPr>
          <w:szCs w:val="28"/>
        </w:rPr>
        <w:t>Amongst the drawers of such cheque payments in September 2007 were Cheung Chi Tai ($18</w:t>
      </w:r>
      <w:r w:rsidR="00B614F6" w:rsidRPr="00662BA1">
        <w:rPr>
          <w:szCs w:val="28"/>
        </w:rPr>
        <w:t xml:space="preserve"> million), </w:t>
      </w:r>
      <w:proofErr w:type="spellStart"/>
      <w:r w:rsidR="00B614F6" w:rsidRPr="00662BA1">
        <w:rPr>
          <w:szCs w:val="28"/>
        </w:rPr>
        <w:t>Artune</w:t>
      </w:r>
      <w:proofErr w:type="spellEnd"/>
      <w:r w:rsidR="00B614F6" w:rsidRPr="00662BA1">
        <w:rPr>
          <w:szCs w:val="28"/>
        </w:rPr>
        <w:t xml:space="preserve"> ($10 </w:t>
      </w:r>
      <w:r w:rsidR="00176C73" w:rsidRPr="00662BA1">
        <w:rPr>
          <w:szCs w:val="28"/>
        </w:rPr>
        <w:t xml:space="preserve">million) and Au </w:t>
      </w:r>
      <w:proofErr w:type="spellStart"/>
      <w:r w:rsidR="00176C73" w:rsidRPr="00662BA1">
        <w:rPr>
          <w:szCs w:val="28"/>
        </w:rPr>
        <w:t>Yeung</w:t>
      </w:r>
      <w:proofErr w:type="spellEnd"/>
      <w:r w:rsidR="00176C73" w:rsidRPr="00662BA1">
        <w:rPr>
          <w:szCs w:val="28"/>
        </w:rPr>
        <w:t xml:space="preserve"> Kai </w:t>
      </w:r>
      <w:proofErr w:type="spellStart"/>
      <w:r w:rsidR="00176C73" w:rsidRPr="00662BA1">
        <w:rPr>
          <w:szCs w:val="28"/>
        </w:rPr>
        <w:t>Chor</w:t>
      </w:r>
      <w:proofErr w:type="spellEnd"/>
      <w:r w:rsidR="00176C73" w:rsidRPr="00662BA1">
        <w:rPr>
          <w:szCs w:val="28"/>
        </w:rPr>
        <w:t xml:space="preserve"> ($3.3</w:t>
      </w:r>
      <w:r w:rsidR="00B614F6" w:rsidRPr="00662BA1">
        <w:rPr>
          <w:szCs w:val="28"/>
        </w:rPr>
        <w:t> </w:t>
      </w:r>
      <w:r w:rsidR="00176C73" w:rsidRPr="00662BA1">
        <w:rPr>
          <w:szCs w:val="28"/>
        </w:rPr>
        <w:t>million).</w:t>
      </w:r>
      <w:r w:rsidR="00176C73" w:rsidRPr="00662BA1">
        <w:rPr>
          <w:rStyle w:val="FootnoteReference"/>
          <w:szCs w:val="28"/>
        </w:rPr>
        <w:footnoteReference w:id="138"/>
      </w:r>
      <w:r w:rsidR="00B614F6" w:rsidRPr="00662BA1">
        <w:rPr>
          <w:szCs w:val="28"/>
        </w:rPr>
        <w:t xml:space="preserve">  </w:t>
      </w:r>
      <w:r w:rsidR="00176C73" w:rsidRPr="00662BA1">
        <w:rPr>
          <w:szCs w:val="28"/>
        </w:rPr>
        <w:t>Notwithstanding the fact that the applicant testified that he and his father had</w:t>
      </w:r>
      <w:r w:rsidR="00B614F6" w:rsidRPr="00662BA1">
        <w:rPr>
          <w:szCs w:val="28"/>
        </w:rPr>
        <w:t xml:space="preserve"> made a profit of more than $56 </w:t>
      </w:r>
      <w:r w:rsidR="00176C73" w:rsidRPr="00662BA1">
        <w:rPr>
          <w:szCs w:val="28"/>
        </w:rPr>
        <w:t>million on the sale of their tranche of shares in Massive Resources,</w:t>
      </w:r>
      <w:r w:rsidR="00176C73" w:rsidRPr="00662BA1">
        <w:rPr>
          <w:rStyle w:val="FootnoteReference"/>
          <w:szCs w:val="28"/>
        </w:rPr>
        <w:footnoteReference w:id="139"/>
      </w:r>
      <w:r w:rsidR="00176C73" w:rsidRPr="00662BA1">
        <w:rPr>
          <w:szCs w:val="28"/>
        </w:rPr>
        <w:t xml:space="preserve"> the judge went on to note that the applicant testified that he was unable to locate any documents to evidence the transaction.</w:t>
      </w:r>
      <w:r w:rsidR="00176C73" w:rsidRPr="00662BA1">
        <w:rPr>
          <w:rStyle w:val="FootnoteReference"/>
          <w:szCs w:val="28"/>
        </w:rPr>
        <w:footnoteReference w:id="140"/>
      </w:r>
    </w:p>
    <w:p w:rsidR="00B614F6" w:rsidRPr="00662BA1" w:rsidRDefault="00052537" w:rsidP="00B614F6">
      <w:pPr>
        <w:pStyle w:val="ListParagraph"/>
        <w:tabs>
          <w:tab w:val="clear" w:pos="4320"/>
          <w:tab w:val="clear" w:pos="9072"/>
          <w:tab w:val="left" w:pos="2074"/>
        </w:tabs>
        <w:snapToGrid/>
        <w:spacing w:before="360" w:line="360" w:lineRule="auto"/>
        <w:ind w:left="0"/>
        <w:contextualSpacing w:val="0"/>
        <w:jc w:val="both"/>
        <w:rPr>
          <w:szCs w:val="28"/>
        </w:rPr>
      </w:pPr>
      <w:r w:rsidRPr="00662BA1">
        <w:rPr>
          <w:szCs w:val="28"/>
        </w:rPr>
        <w:fldChar w:fldCharType="begin"/>
      </w:r>
      <w:r w:rsidR="00B614F6" w:rsidRPr="00662BA1">
        <w:rPr>
          <w:szCs w:val="28"/>
        </w:rPr>
        <w:instrText xml:space="preserve"> AUTONUMOUT  </w:instrText>
      </w:r>
      <w:r w:rsidRPr="00662BA1">
        <w:rPr>
          <w:szCs w:val="28"/>
        </w:rPr>
        <w:fldChar w:fldCharType="end"/>
      </w:r>
      <w:r w:rsidR="00B614F6" w:rsidRPr="00662BA1">
        <w:rPr>
          <w:szCs w:val="28"/>
        </w:rPr>
        <w:tab/>
      </w:r>
      <w:r w:rsidR="00176C73" w:rsidRPr="00662BA1">
        <w:rPr>
          <w:szCs w:val="28"/>
        </w:rPr>
        <w:t xml:space="preserve">Of the $18 million payment by Cheung Chi Tai, the judge noted that </w:t>
      </w:r>
      <w:r w:rsidR="00B614F6" w:rsidRPr="00662BA1">
        <w:rPr>
          <w:szCs w:val="28"/>
        </w:rPr>
        <w:t>the applicant testified that Mr Robinson had “</w:t>
      </w:r>
      <w:r w:rsidR="00176C73" w:rsidRPr="00662BA1">
        <w:rPr>
          <w:szCs w:val="28"/>
        </w:rPr>
        <w:t>misunderstood</w:t>
      </w:r>
      <w:r w:rsidR="00B614F6" w:rsidRPr="00662BA1">
        <w:rPr>
          <w:szCs w:val="28"/>
        </w:rPr>
        <w:t>”</w:t>
      </w:r>
      <w:r w:rsidR="00176C73" w:rsidRPr="00662BA1">
        <w:rPr>
          <w:szCs w:val="28"/>
        </w:rPr>
        <w:t xml:space="preserve"> the position when he described it in his report</w:t>
      </w:r>
      <w:r w:rsidR="00B614F6" w:rsidRPr="00662BA1">
        <w:rPr>
          <w:szCs w:val="28"/>
        </w:rPr>
        <w:t xml:space="preserve"> as being part of a loan of $20</w:t>
      </w:r>
      <w:r w:rsidR="00B614F6" w:rsidRPr="00662BA1">
        <w:rPr>
          <w:szCs w:val="28"/>
          <w:lang w:val="en-US"/>
        </w:rPr>
        <w:t> </w:t>
      </w:r>
      <w:r w:rsidR="00176C73" w:rsidRPr="00662BA1">
        <w:rPr>
          <w:szCs w:val="28"/>
        </w:rPr>
        <w:t xml:space="preserve">million made to the applicant to buy property in </w:t>
      </w:r>
      <w:r w:rsidR="00CD33F8">
        <w:rPr>
          <w:szCs w:val="28"/>
        </w:rPr>
        <w:t xml:space="preserve">the </w:t>
      </w:r>
      <w:r w:rsidR="00176C73" w:rsidRPr="00662BA1">
        <w:rPr>
          <w:szCs w:val="28"/>
        </w:rPr>
        <w:t>United Kingdom.</w:t>
      </w:r>
      <w:r w:rsidR="00176C73" w:rsidRPr="00662BA1">
        <w:rPr>
          <w:rStyle w:val="FootnoteReference"/>
          <w:szCs w:val="28"/>
        </w:rPr>
        <w:footnoteReference w:id="141"/>
      </w:r>
      <w:r w:rsidR="00B614F6" w:rsidRPr="00662BA1">
        <w:rPr>
          <w:rFonts w:hint="eastAsia"/>
          <w:szCs w:val="28"/>
        </w:rPr>
        <w:t xml:space="preserve">  </w:t>
      </w:r>
      <w:r w:rsidR="00176C73" w:rsidRPr="00662BA1">
        <w:rPr>
          <w:szCs w:val="28"/>
        </w:rPr>
        <w:t>Later, the judge determined the applicant to have lied abou</w:t>
      </w:r>
      <w:r w:rsidR="00B614F6" w:rsidRPr="00662BA1">
        <w:rPr>
          <w:szCs w:val="28"/>
        </w:rPr>
        <w:t>t the circumstances in which Mr</w:t>
      </w:r>
      <w:proofErr w:type="gramStart"/>
      <w:r w:rsidR="00B614F6" w:rsidRPr="00662BA1">
        <w:rPr>
          <w:szCs w:val="28"/>
          <w:lang w:val="en-US"/>
        </w:rPr>
        <w:t>  </w:t>
      </w:r>
      <w:r w:rsidR="00176C73" w:rsidRPr="00662BA1">
        <w:rPr>
          <w:szCs w:val="28"/>
        </w:rPr>
        <w:t>Robinson</w:t>
      </w:r>
      <w:proofErr w:type="gramEnd"/>
      <w:r w:rsidR="00176C73" w:rsidRPr="00662BA1">
        <w:rPr>
          <w:szCs w:val="28"/>
        </w:rPr>
        <w:t xml:space="preserve"> had received his instructions, finding</w:t>
      </w:r>
      <w:r w:rsidR="00B614F6" w:rsidRPr="00662BA1">
        <w:rPr>
          <w:szCs w:val="28"/>
        </w:rPr>
        <w:t xml:space="preserve"> of the applicant that he was, “</w:t>
      </w:r>
      <w:r w:rsidR="00176C73" w:rsidRPr="00662BA1">
        <w:rPr>
          <w:szCs w:val="28"/>
        </w:rPr>
        <w:t>trying to wriggle his way out of a situation where he had told his solicitors and his expert something different to what he now wanted to say in the witness box.</w:t>
      </w:r>
      <w:r w:rsidR="00B614F6" w:rsidRPr="00662BA1">
        <w:rPr>
          <w:szCs w:val="28"/>
        </w:rPr>
        <w:t>”</w:t>
      </w:r>
      <w:r w:rsidR="00176C73" w:rsidRPr="00662BA1">
        <w:rPr>
          <w:rStyle w:val="FootnoteReference"/>
          <w:szCs w:val="28"/>
        </w:rPr>
        <w:footnoteReference w:id="142"/>
      </w:r>
    </w:p>
    <w:p w:rsidR="00ED0786" w:rsidRPr="00662BA1" w:rsidRDefault="00052537" w:rsidP="00ED0786">
      <w:pPr>
        <w:pStyle w:val="ListParagraph"/>
        <w:tabs>
          <w:tab w:val="clear" w:pos="4320"/>
          <w:tab w:val="clear" w:pos="9072"/>
          <w:tab w:val="left" w:pos="2074"/>
        </w:tabs>
        <w:snapToGrid/>
        <w:spacing w:before="360" w:line="360" w:lineRule="auto"/>
        <w:ind w:left="0"/>
        <w:contextualSpacing w:val="0"/>
        <w:jc w:val="both"/>
        <w:rPr>
          <w:szCs w:val="28"/>
        </w:rPr>
      </w:pPr>
      <w:r w:rsidRPr="00662BA1">
        <w:rPr>
          <w:szCs w:val="28"/>
        </w:rPr>
        <w:fldChar w:fldCharType="begin"/>
      </w:r>
      <w:r w:rsidR="00B614F6" w:rsidRPr="00662BA1">
        <w:rPr>
          <w:szCs w:val="28"/>
        </w:rPr>
        <w:instrText xml:space="preserve"> </w:instrText>
      </w:r>
      <w:r w:rsidR="00B614F6" w:rsidRPr="00662BA1">
        <w:rPr>
          <w:rFonts w:hint="eastAsia"/>
          <w:szCs w:val="28"/>
        </w:rPr>
        <w:instrText xml:space="preserve">AUTONUMOUT </w:instrText>
      </w:r>
      <w:r w:rsidR="00B614F6" w:rsidRPr="00662BA1">
        <w:rPr>
          <w:szCs w:val="28"/>
        </w:rPr>
        <w:instrText xml:space="preserve"> </w:instrText>
      </w:r>
      <w:r w:rsidRPr="00662BA1">
        <w:rPr>
          <w:szCs w:val="28"/>
        </w:rPr>
        <w:fldChar w:fldCharType="end"/>
      </w:r>
      <w:r w:rsidR="00B614F6" w:rsidRPr="00662BA1">
        <w:rPr>
          <w:szCs w:val="28"/>
        </w:rPr>
        <w:tab/>
      </w:r>
      <w:r w:rsidR="00F77555">
        <w:rPr>
          <w:szCs w:val="28"/>
        </w:rPr>
        <w:t>Clearly, the applicant’</w:t>
      </w:r>
      <w:r w:rsidR="00176C73" w:rsidRPr="00662BA1">
        <w:rPr>
          <w:szCs w:val="28"/>
        </w:rPr>
        <w:t xml:space="preserve">s testimony that the various deposits of money were explained as repayments of the two investments addressed the specific stipulation of those persons as the drawers of cheques deposited into the five </w:t>
      </w:r>
      <w:r w:rsidR="00ED0786" w:rsidRPr="00662BA1">
        <w:rPr>
          <w:szCs w:val="28"/>
        </w:rPr>
        <w:t>bank accounts identified in Sgt</w:t>
      </w:r>
      <w:r w:rsidR="00ED0786" w:rsidRPr="00662BA1">
        <w:rPr>
          <w:szCs w:val="28"/>
          <w:lang w:val="en-US"/>
        </w:rPr>
        <w:t> </w:t>
      </w:r>
      <w:r w:rsidR="00ED0786" w:rsidRPr="00662BA1">
        <w:rPr>
          <w:szCs w:val="28"/>
        </w:rPr>
        <w:t>Kwan’</w:t>
      </w:r>
      <w:r w:rsidR="00176C73" w:rsidRPr="00662BA1">
        <w:rPr>
          <w:szCs w:val="28"/>
        </w:rPr>
        <w:t>s schedules adduced into evidence in the prosecution case.</w:t>
      </w:r>
    </w:p>
    <w:p w:rsidR="00176C73" w:rsidRPr="00662BA1" w:rsidRDefault="00052537" w:rsidP="00ED0786">
      <w:pPr>
        <w:pStyle w:val="ListParagraph"/>
        <w:tabs>
          <w:tab w:val="clear" w:pos="4320"/>
          <w:tab w:val="clear" w:pos="9072"/>
          <w:tab w:val="left" w:pos="2074"/>
        </w:tabs>
        <w:snapToGrid/>
        <w:spacing w:before="360" w:line="360" w:lineRule="auto"/>
        <w:ind w:left="0"/>
        <w:contextualSpacing w:val="0"/>
        <w:jc w:val="both"/>
        <w:rPr>
          <w:szCs w:val="28"/>
        </w:rPr>
      </w:pPr>
      <w:r w:rsidRPr="00662BA1">
        <w:rPr>
          <w:szCs w:val="28"/>
        </w:rPr>
        <w:fldChar w:fldCharType="begin"/>
      </w:r>
      <w:r w:rsidR="00ED0786" w:rsidRPr="00662BA1">
        <w:rPr>
          <w:szCs w:val="28"/>
        </w:rPr>
        <w:instrText xml:space="preserve"> </w:instrText>
      </w:r>
      <w:r w:rsidR="00ED0786" w:rsidRPr="00662BA1">
        <w:rPr>
          <w:rFonts w:hint="eastAsia"/>
          <w:szCs w:val="28"/>
        </w:rPr>
        <w:instrText xml:space="preserve">AUTONUMOUT </w:instrText>
      </w:r>
      <w:r w:rsidR="00ED0786" w:rsidRPr="00662BA1">
        <w:rPr>
          <w:szCs w:val="28"/>
        </w:rPr>
        <w:instrText xml:space="preserve"> </w:instrText>
      </w:r>
      <w:r w:rsidRPr="00662BA1">
        <w:rPr>
          <w:szCs w:val="28"/>
        </w:rPr>
        <w:fldChar w:fldCharType="end"/>
      </w:r>
      <w:r w:rsidR="00ED0786" w:rsidRPr="00662BA1">
        <w:rPr>
          <w:szCs w:val="28"/>
        </w:rPr>
        <w:tab/>
      </w:r>
      <w:r w:rsidR="00F77555">
        <w:rPr>
          <w:szCs w:val="28"/>
        </w:rPr>
        <w:t>Having reviewed the applicant’</w:t>
      </w:r>
      <w:r w:rsidR="00176C73" w:rsidRPr="00662BA1">
        <w:rPr>
          <w:szCs w:val="28"/>
        </w:rPr>
        <w:t>s evidence at length in respect of the alleged investments in Neptune Club and Massive Resources and the resulting deposits into the five bank accounts, the judge found the applicant’s expl</w:t>
      </w:r>
      <w:r w:rsidR="00ED0786" w:rsidRPr="00662BA1">
        <w:rPr>
          <w:szCs w:val="28"/>
        </w:rPr>
        <w:t>anation for payments of over $5</w:t>
      </w:r>
      <w:r w:rsidR="00ED0786" w:rsidRPr="00662BA1">
        <w:rPr>
          <w:szCs w:val="28"/>
          <w:lang w:val="en-US"/>
        </w:rPr>
        <w:t> </w:t>
      </w:r>
      <w:r w:rsidR="00176C73" w:rsidRPr="00662BA1">
        <w:rPr>
          <w:szCs w:val="28"/>
        </w:rPr>
        <w:t xml:space="preserve">million in April and May 2005 as being repayment of capital and </w:t>
      </w:r>
      <w:r w:rsidR="00ED0786" w:rsidRPr="00662BA1">
        <w:rPr>
          <w:szCs w:val="28"/>
        </w:rPr>
        <w:t>interest in relation to the $20</w:t>
      </w:r>
      <w:r w:rsidR="00ED0786" w:rsidRPr="00662BA1">
        <w:rPr>
          <w:szCs w:val="28"/>
          <w:lang w:val="en-US"/>
        </w:rPr>
        <w:t> </w:t>
      </w:r>
      <w:r w:rsidR="00176C73" w:rsidRPr="00662BA1">
        <w:rPr>
          <w:szCs w:val="28"/>
        </w:rPr>
        <w:t xml:space="preserve">million </w:t>
      </w:r>
      <w:r w:rsidR="00ED0786" w:rsidRPr="00662BA1">
        <w:rPr>
          <w:szCs w:val="28"/>
        </w:rPr>
        <w:t xml:space="preserve">investment </w:t>
      </w:r>
      <w:r w:rsidR="00CD33F8">
        <w:rPr>
          <w:szCs w:val="28"/>
        </w:rPr>
        <w:t>to be</w:t>
      </w:r>
      <w:r w:rsidR="00ED0786" w:rsidRPr="00662BA1">
        <w:rPr>
          <w:szCs w:val="28"/>
        </w:rPr>
        <w:t xml:space="preserve"> bordering on the “</w:t>
      </w:r>
      <w:r w:rsidR="00176C73" w:rsidRPr="00662BA1">
        <w:rPr>
          <w:szCs w:val="28"/>
        </w:rPr>
        <w:t>nonsensical</w:t>
      </w:r>
      <w:r w:rsidR="00ED0786" w:rsidRPr="00662BA1">
        <w:rPr>
          <w:szCs w:val="28"/>
        </w:rPr>
        <w:t>”</w:t>
      </w:r>
      <w:r w:rsidR="00176C73" w:rsidRPr="00662BA1">
        <w:rPr>
          <w:szCs w:val="28"/>
        </w:rPr>
        <w:t xml:space="preserve"> and the applicant to have lied in his evidence of having added to his investment by depositing gambling winnings.</w:t>
      </w:r>
      <w:r w:rsidR="00176C73" w:rsidRPr="00662BA1">
        <w:rPr>
          <w:rStyle w:val="FootnoteReference"/>
          <w:szCs w:val="28"/>
        </w:rPr>
        <w:footnoteReference w:id="143"/>
      </w:r>
      <w:r w:rsidR="00ED0786" w:rsidRPr="00662BA1">
        <w:rPr>
          <w:rFonts w:hint="eastAsia"/>
          <w:szCs w:val="28"/>
        </w:rPr>
        <w:t xml:space="preserve">  </w:t>
      </w:r>
      <w:r w:rsidR="00176C73" w:rsidRPr="00662BA1">
        <w:rPr>
          <w:szCs w:val="28"/>
        </w:rPr>
        <w:t>Earlier</w:t>
      </w:r>
      <w:r w:rsidR="00ED0786" w:rsidRPr="00662BA1">
        <w:rPr>
          <w:szCs w:val="28"/>
        </w:rPr>
        <w:t>, the judge found the applicant’</w:t>
      </w:r>
      <w:r w:rsidR="00176C73" w:rsidRPr="00662BA1">
        <w:rPr>
          <w:szCs w:val="28"/>
        </w:rPr>
        <w:t xml:space="preserve">s account of the rate of interest attached to the shareholding in </w:t>
      </w:r>
      <w:r w:rsidR="00ED0786" w:rsidRPr="00662BA1">
        <w:rPr>
          <w:szCs w:val="28"/>
        </w:rPr>
        <w:t>shares of Massive Resources as “ludicrous”</w:t>
      </w:r>
      <w:r w:rsidR="00176C73" w:rsidRPr="00662BA1">
        <w:rPr>
          <w:szCs w:val="28"/>
        </w:rPr>
        <w:t>.</w:t>
      </w:r>
      <w:r w:rsidR="00176C73" w:rsidRPr="00662BA1">
        <w:rPr>
          <w:rStyle w:val="FootnoteReference"/>
          <w:szCs w:val="28"/>
        </w:rPr>
        <w:footnoteReference w:id="144"/>
      </w:r>
      <w:r w:rsidR="00ED0786" w:rsidRPr="00662BA1">
        <w:rPr>
          <w:rFonts w:hint="eastAsia"/>
          <w:szCs w:val="28"/>
        </w:rPr>
        <w:t xml:space="preserve">  </w:t>
      </w:r>
      <w:r w:rsidR="00176C73" w:rsidRPr="00662BA1">
        <w:rPr>
          <w:szCs w:val="28"/>
        </w:rPr>
        <w:t xml:space="preserve">Also, he found the applicant not to have told the truth in his evidence of having </w:t>
      </w:r>
      <w:r w:rsidR="00AC2E71">
        <w:rPr>
          <w:szCs w:val="28"/>
        </w:rPr>
        <w:t xml:space="preserve">asked Lin </w:t>
      </w:r>
      <w:proofErr w:type="spellStart"/>
      <w:r w:rsidR="00AC2E71">
        <w:rPr>
          <w:szCs w:val="28"/>
        </w:rPr>
        <w:t>Cheuk</w:t>
      </w:r>
      <w:proofErr w:type="spellEnd"/>
      <w:r w:rsidR="00AC2E71">
        <w:rPr>
          <w:szCs w:val="28"/>
        </w:rPr>
        <w:t xml:space="preserve"> Fung and </w:t>
      </w:r>
      <w:r w:rsidR="00CD33F8">
        <w:rPr>
          <w:szCs w:val="28"/>
        </w:rPr>
        <w:t xml:space="preserve">the </w:t>
      </w:r>
      <w:r w:rsidR="00AC2E71">
        <w:rPr>
          <w:szCs w:val="28"/>
        </w:rPr>
        <w:t xml:space="preserve">others </w:t>
      </w:r>
      <w:r w:rsidR="00176C73" w:rsidRPr="00662BA1">
        <w:rPr>
          <w:szCs w:val="28"/>
        </w:rPr>
        <w:t>who had made deposits to the bank accounts, why they made those deposits.</w:t>
      </w:r>
      <w:r w:rsidR="00176C73" w:rsidRPr="00662BA1">
        <w:rPr>
          <w:rStyle w:val="FootnoteReference"/>
          <w:szCs w:val="28"/>
        </w:rPr>
        <w:footnoteReference w:id="145"/>
      </w:r>
      <w:r w:rsidR="00176C73" w:rsidRPr="00662BA1">
        <w:rPr>
          <w:szCs w:val="28"/>
        </w:rPr>
        <w:t xml:space="preserve"> </w:t>
      </w:r>
      <w:r w:rsidR="00ED0786" w:rsidRPr="00662BA1">
        <w:rPr>
          <w:rFonts w:hint="eastAsia"/>
          <w:szCs w:val="28"/>
        </w:rPr>
        <w:t xml:space="preserve"> </w:t>
      </w:r>
      <w:r w:rsidR="00176C73" w:rsidRPr="00662BA1">
        <w:rPr>
          <w:szCs w:val="28"/>
        </w:rPr>
        <w:t>As noted earlier, having made those trenchant criticisms, the judge went on to reject his evidence:</w:t>
      </w:r>
      <w:r w:rsidR="00176C73" w:rsidRPr="00662BA1">
        <w:rPr>
          <w:rStyle w:val="FootnoteReference"/>
          <w:szCs w:val="28"/>
        </w:rPr>
        <w:footnoteReference w:id="146"/>
      </w:r>
    </w:p>
    <w:p w:rsidR="00ED0786" w:rsidRPr="00662BA1" w:rsidRDefault="00ED0786" w:rsidP="00ED0786">
      <w:pPr>
        <w:pStyle w:val="ListParagraph"/>
        <w:tabs>
          <w:tab w:val="clear" w:pos="1440"/>
          <w:tab w:val="clear" w:pos="4320"/>
          <w:tab w:val="clear" w:pos="9072"/>
          <w:tab w:val="left" w:pos="2074"/>
        </w:tabs>
        <w:snapToGrid/>
        <w:spacing w:before="240"/>
        <w:ind w:left="1454" w:right="835" w:hanging="187"/>
        <w:contextualSpacing w:val="0"/>
        <w:jc w:val="both"/>
        <w:rPr>
          <w:sz w:val="24"/>
          <w:szCs w:val="24"/>
        </w:rPr>
      </w:pPr>
      <w:r w:rsidRPr="00662BA1">
        <w:rPr>
          <w:sz w:val="24"/>
          <w:szCs w:val="24"/>
        </w:rPr>
        <w:t>“</w:t>
      </w:r>
      <w:r w:rsidRPr="00662BA1">
        <w:rPr>
          <w:sz w:val="24"/>
          <w:szCs w:val="24"/>
        </w:rPr>
        <w:tab/>
      </w:r>
      <w:r w:rsidR="00176C73" w:rsidRPr="00662BA1">
        <w:rPr>
          <w:sz w:val="24"/>
          <w:szCs w:val="24"/>
        </w:rPr>
        <w:t xml:space="preserve">It is the defendant’s evidence that the deposits by various individuals and entities were either return of capital and interest for his and his father’s $20 million investment in Neptune Club or return of capital and interest for his and his father’s $26.4 million purchase of 20% of Lin </w:t>
      </w:r>
      <w:proofErr w:type="spellStart"/>
      <w:r w:rsidR="00176C73" w:rsidRPr="00662BA1">
        <w:rPr>
          <w:sz w:val="24"/>
          <w:szCs w:val="24"/>
        </w:rPr>
        <w:t>Cheuk</w:t>
      </w:r>
      <w:proofErr w:type="spellEnd"/>
      <w:r w:rsidR="00176C73" w:rsidRPr="00662BA1">
        <w:rPr>
          <w:sz w:val="24"/>
          <w:szCs w:val="24"/>
        </w:rPr>
        <w:t xml:space="preserve"> Fung’s 070 shares. </w:t>
      </w:r>
      <w:r w:rsidRPr="00662BA1">
        <w:rPr>
          <w:rFonts w:hint="eastAsia"/>
          <w:sz w:val="24"/>
          <w:szCs w:val="24"/>
        </w:rPr>
        <w:t xml:space="preserve"> </w:t>
      </w:r>
      <w:r w:rsidR="00176C73" w:rsidRPr="00662BA1">
        <w:rPr>
          <w:sz w:val="24"/>
          <w:szCs w:val="24"/>
        </w:rPr>
        <w:t xml:space="preserve">For reasons given above </w:t>
      </w:r>
      <w:r w:rsidR="00176C73" w:rsidRPr="00662BA1">
        <w:rPr>
          <w:i/>
          <w:sz w:val="24"/>
          <w:szCs w:val="24"/>
        </w:rPr>
        <w:t xml:space="preserve">I find that the defendant is not telling the truth about those investments and I reject his evidence. </w:t>
      </w:r>
      <w:r w:rsidRPr="00662BA1">
        <w:rPr>
          <w:rFonts w:hint="eastAsia"/>
          <w:sz w:val="24"/>
          <w:szCs w:val="24"/>
        </w:rPr>
        <w:t xml:space="preserve"> </w:t>
      </w:r>
      <w:r w:rsidR="00176C73" w:rsidRPr="00662BA1">
        <w:rPr>
          <w:sz w:val="24"/>
          <w:szCs w:val="24"/>
        </w:rPr>
        <w:t>[Italics added.]</w:t>
      </w:r>
    </w:p>
    <w:p w:rsidR="00ED0786" w:rsidRPr="00662BA1" w:rsidRDefault="00ED0786" w:rsidP="00ED0786">
      <w:pPr>
        <w:pStyle w:val="ListParagraph"/>
        <w:tabs>
          <w:tab w:val="clear" w:pos="1440"/>
          <w:tab w:val="clear" w:pos="4320"/>
          <w:tab w:val="clear" w:pos="9072"/>
          <w:tab w:val="left" w:pos="2074"/>
        </w:tabs>
        <w:snapToGrid/>
        <w:spacing w:line="80" w:lineRule="exact"/>
        <w:ind w:left="1454" w:right="835" w:hanging="187"/>
        <w:contextualSpacing w:val="0"/>
        <w:jc w:val="both"/>
        <w:rPr>
          <w:sz w:val="24"/>
          <w:szCs w:val="24"/>
        </w:rPr>
      </w:pPr>
    </w:p>
    <w:p w:rsidR="00ED0786" w:rsidRPr="00662BA1" w:rsidRDefault="00ED0786" w:rsidP="00ED0786">
      <w:pPr>
        <w:pStyle w:val="ListParagraph"/>
        <w:tabs>
          <w:tab w:val="clear" w:pos="1440"/>
          <w:tab w:val="clear" w:pos="4320"/>
          <w:tab w:val="clear" w:pos="9072"/>
          <w:tab w:val="left" w:pos="2074"/>
        </w:tabs>
        <w:snapToGrid/>
        <w:spacing w:line="80" w:lineRule="exact"/>
        <w:ind w:left="1454" w:right="835" w:hanging="187"/>
        <w:jc w:val="both"/>
        <w:rPr>
          <w:sz w:val="24"/>
          <w:szCs w:val="24"/>
        </w:rPr>
      </w:pPr>
    </w:p>
    <w:p w:rsidR="00ED0786" w:rsidRPr="00662BA1" w:rsidRDefault="00052537" w:rsidP="00ED0786">
      <w:pPr>
        <w:pStyle w:val="ListParagraph"/>
        <w:tabs>
          <w:tab w:val="clear" w:pos="4320"/>
          <w:tab w:val="clear" w:pos="9072"/>
        </w:tabs>
        <w:snapToGrid/>
        <w:spacing w:before="360" w:line="360" w:lineRule="auto"/>
        <w:ind w:left="0"/>
        <w:contextualSpacing w:val="0"/>
        <w:jc w:val="both"/>
        <w:rPr>
          <w:szCs w:val="28"/>
        </w:rPr>
      </w:pPr>
      <w:r w:rsidRPr="00662BA1">
        <w:rPr>
          <w:szCs w:val="28"/>
        </w:rPr>
        <w:fldChar w:fldCharType="begin"/>
      </w:r>
      <w:r w:rsidR="00ED0786" w:rsidRPr="00662BA1">
        <w:rPr>
          <w:szCs w:val="28"/>
        </w:rPr>
        <w:instrText xml:space="preserve"> AUTONUMOUT  </w:instrText>
      </w:r>
      <w:r w:rsidRPr="00662BA1">
        <w:rPr>
          <w:szCs w:val="28"/>
        </w:rPr>
        <w:fldChar w:fldCharType="end"/>
      </w:r>
      <w:r w:rsidR="00ED0786" w:rsidRPr="00662BA1">
        <w:rPr>
          <w:szCs w:val="28"/>
        </w:rPr>
        <w:tab/>
      </w:r>
      <w:r w:rsidR="00176C73" w:rsidRPr="00662BA1">
        <w:rPr>
          <w:szCs w:val="28"/>
        </w:rPr>
        <w:t>Clearly, in making that unambiguous determination the ju</w:t>
      </w:r>
      <w:r w:rsidR="00ED0786" w:rsidRPr="00662BA1">
        <w:rPr>
          <w:szCs w:val="28"/>
        </w:rPr>
        <w:t>dge was rejecting the applicant’</w:t>
      </w:r>
      <w:r w:rsidR="00176C73" w:rsidRPr="00662BA1">
        <w:rPr>
          <w:szCs w:val="28"/>
        </w:rPr>
        <w:t>s account not only of his ‘so-called’</w:t>
      </w:r>
      <w:r w:rsidR="00ED0786" w:rsidRPr="00662BA1">
        <w:rPr>
          <w:szCs w:val="28"/>
          <w:lang w:val="en-US"/>
        </w:rPr>
        <w:t> </w:t>
      </w:r>
      <w:r w:rsidR="00176C73" w:rsidRPr="00662BA1">
        <w:rPr>
          <w:rStyle w:val="FootnoteReference"/>
          <w:szCs w:val="28"/>
        </w:rPr>
        <w:footnoteReference w:id="147"/>
      </w:r>
      <w:r w:rsidR="00176C73" w:rsidRPr="00662BA1">
        <w:rPr>
          <w:szCs w:val="28"/>
        </w:rPr>
        <w:t xml:space="preserve"> investments but also the reason those deposits were made into the five bank accounts. </w:t>
      </w:r>
      <w:r w:rsidR="00ED0786" w:rsidRPr="00662BA1">
        <w:rPr>
          <w:szCs w:val="28"/>
        </w:rPr>
        <w:t xml:space="preserve">　</w:t>
      </w:r>
      <w:r w:rsidR="00176C73" w:rsidRPr="00662BA1">
        <w:rPr>
          <w:szCs w:val="28"/>
        </w:rPr>
        <w:t>In those circumstances, the remaining issue was, having regard to all the other evidence, whether or not the applicant had reasonable grounds to believe that the deposits were the proceeds of an indictable offence.</w:t>
      </w:r>
      <w:r w:rsidR="00176C73" w:rsidRPr="00662BA1">
        <w:rPr>
          <w:rStyle w:val="FootnoteReference"/>
          <w:szCs w:val="28"/>
        </w:rPr>
        <w:footnoteReference w:id="148"/>
      </w:r>
    </w:p>
    <w:p w:rsidR="00ED0786" w:rsidRPr="00662BA1" w:rsidRDefault="00052537" w:rsidP="00ED0786">
      <w:pPr>
        <w:pStyle w:val="ListParagraph"/>
        <w:tabs>
          <w:tab w:val="clear" w:pos="4320"/>
          <w:tab w:val="clear" w:pos="9072"/>
        </w:tabs>
        <w:snapToGrid/>
        <w:spacing w:before="360" w:line="360" w:lineRule="auto"/>
        <w:ind w:left="0"/>
        <w:contextualSpacing w:val="0"/>
        <w:jc w:val="both"/>
        <w:rPr>
          <w:szCs w:val="28"/>
        </w:rPr>
      </w:pPr>
      <w:r w:rsidRPr="00662BA1">
        <w:rPr>
          <w:szCs w:val="28"/>
        </w:rPr>
        <w:fldChar w:fldCharType="begin"/>
      </w:r>
      <w:r w:rsidR="00ED0786" w:rsidRPr="00662BA1">
        <w:rPr>
          <w:szCs w:val="28"/>
        </w:rPr>
        <w:instrText xml:space="preserve"> </w:instrText>
      </w:r>
      <w:r w:rsidR="00ED0786" w:rsidRPr="00662BA1">
        <w:rPr>
          <w:rFonts w:hint="eastAsia"/>
          <w:szCs w:val="28"/>
        </w:rPr>
        <w:instrText xml:space="preserve">AUTONUMOUT </w:instrText>
      </w:r>
      <w:r w:rsidR="00ED0786" w:rsidRPr="00662BA1">
        <w:rPr>
          <w:szCs w:val="28"/>
        </w:rPr>
        <w:instrText xml:space="preserve"> </w:instrText>
      </w:r>
      <w:r w:rsidRPr="00662BA1">
        <w:rPr>
          <w:szCs w:val="28"/>
        </w:rPr>
        <w:fldChar w:fldCharType="end"/>
      </w:r>
      <w:r w:rsidR="00ED0786" w:rsidRPr="00662BA1">
        <w:rPr>
          <w:szCs w:val="28"/>
        </w:rPr>
        <w:tab/>
        <w:t>The judge</w:t>
      </w:r>
      <w:r w:rsidR="00ED0786" w:rsidRPr="00662BA1">
        <w:rPr>
          <w:szCs w:val="28"/>
          <w:lang w:val="en-US"/>
        </w:rPr>
        <w:t>’</w:t>
      </w:r>
      <w:r w:rsidR="00176C73" w:rsidRPr="00662BA1">
        <w:rPr>
          <w:szCs w:val="28"/>
        </w:rPr>
        <w:t>s finding, in the context of the alleged investments in the shares of Massive</w:t>
      </w:r>
      <w:r w:rsidR="00ED0786" w:rsidRPr="00662BA1">
        <w:rPr>
          <w:szCs w:val="28"/>
        </w:rPr>
        <w:t xml:space="preserve"> Resources, that the applicant “</w:t>
      </w:r>
      <w:r w:rsidR="00176C73" w:rsidRPr="00662BA1">
        <w:rPr>
          <w:szCs w:val="28"/>
        </w:rPr>
        <w:t>must have known that such behind-the-scenes transactions without disclosure about his interest was inappropria</w:t>
      </w:r>
      <w:r w:rsidR="00ED0786" w:rsidRPr="00662BA1">
        <w:rPr>
          <w:szCs w:val="28"/>
        </w:rPr>
        <w:t xml:space="preserve">te at least </w:t>
      </w:r>
      <w:r w:rsidR="00CD33F8">
        <w:rPr>
          <w:szCs w:val="28"/>
        </w:rPr>
        <w:t xml:space="preserve">and </w:t>
      </w:r>
      <w:r w:rsidR="00ED0786" w:rsidRPr="00662BA1">
        <w:rPr>
          <w:szCs w:val="28"/>
        </w:rPr>
        <w:t>illegal at worst”</w:t>
      </w:r>
      <w:r w:rsidR="00176C73" w:rsidRPr="00662BA1">
        <w:rPr>
          <w:szCs w:val="28"/>
        </w:rPr>
        <w:t>,</w:t>
      </w:r>
      <w:r w:rsidR="00176C73" w:rsidRPr="00662BA1">
        <w:rPr>
          <w:rStyle w:val="FootnoteReference"/>
          <w:szCs w:val="28"/>
        </w:rPr>
        <w:footnoteReference w:id="149"/>
      </w:r>
      <w:r w:rsidR="00176C73" w:rsidRPr="00662BA1">
        <w:rPr>
          <w:szCs w:val="28"/>
        </w:rPr>
        <w:t xml:space="preserve"> addre</w:t>
      </w:r>
      <w:r w:rsidR="00ED0786" w:rsidRPr="00662BA1">
        <w:rPr>
          <w:szCs w:val="28"/>
        </w:rPr>
        <w:t>ssed specifically the applicant’</w:t>
      </w:r>
      <w:r w:rsidR="00176C73" w:rsidRPr="00662BA1">
        <w:rPr>
          <w:szCs w:val="28"/>
        </w:rPr>
        <w:t>s evidence that there was nothing wrong with that arrangement.</w:t>
      </w:r>
      <w:r w:rsidR="00176C73" w:rsidRPr="00662BA1">
        <w:rPr>
          <w:rStyle w:val="FootnoteReference"/>
          <w:szCs w:val="28"/>
        </w:rPr>
        <w:footnoteReference w:id="150"/>
      </w:r>
      <w:r w:rsidR="00ED0786" w:rsidRPr="00662BA1">
        <w:rPr>
          <w:szCs w:val="28"/>
        </w:rPr>
        <w:t xml:space="preserve"> </w:t>
      </w:r>
      <w:r w:rsidR="00176C73" w:rsidRPr="00662BA1">
        <w:rPr>
          <w:szCs w:val="28"/>
        </w:rPr>
        <w:t xml:space="preserve"> However, as noted above, subsequently the judge rejected comprehensively the applicant’s evidence of having made an investment in Massive Resources shares. </w:t>
      </w:r>
      <w:r w:rsidR="00ED0786" w:rsidRPr="00662BA1">
        <w:rPr>
          <w:szCs w:val="28"/>
        </w:rPr>
        <w:t xml:space="preserve"> </w:t>
      </w:r>
      <w:r w:rsidR="00176C73" w:rsidRPr="00662BA1">
        <w:rPr>
          <w:szCs w:val="28"/>
        </w:rPr>
        <w:t>So, that finding, and the related determination that in those circumstances there were reasonable grounds to believe that the related deposits of monies into the five bank accounts of the proceeds of an indictable offence, were rendered otiose and nugatory.</w:t>
      </w:r>
    </w:p>
    <w:p w:rsidR="00176C73" w:rsidRPr="00662BA1" w:rsidRDefault="00052537" w:rsidP="00ED0786">
      <w:pPr>
        <w:pStyle w:val="ListParagraph"/>
        <w:tabs>
          <w:tab w:val="clear" w:pos="4320"/>
          <w:tab w:val="clear" w:pos="9072"/>
        </w:tabs>
        <w:snapToGrid/>
        <w:spacing w:before="360" w:line="360" w:lineRule="auto"/>
        <w:ind w:left="0"/>
        <w:contextualSpacing w:val="0"/>
        <w:jc w:val="both"/>
        <w:rPr>
          <w:szCs w:val="28"/>
        </w:rPr>
      </w:pPr>
      <w:r w:rsidRPr="00662BA1">
        <w:rPr>
          <w:szCs w:val="28"/>
        </w:rPr>
        <w:fldChar w:fldCharType="begin"/>
      </w:r>
      <w:r w:rsidR="00ED0786" w:rsidRPr="00662BA1">
        <w:rPr>
          <w:szCs w:val="28"/>
        </w:rPr>
        <w:instrText xml:space="preserve"> AUTONUMOUT  </w:instrText>
      </w:r>
      <w:r w:rsidRPr="00662BA1">
        <w:rPr>
          <w:szCs w:val="28"/>
        </w:rPr>
        <w:fldChar w:fldCharType="end"/>
      </w:r>
      <w:r w:rsidR="00ED0786" w:rsidRPr="00662BA1">
        <w:rPr>
          <w:szCs w:val="28"/>
        </w:rPr>
        <w:tab/>
      </w:r>
      <w:r w:rsidR="00254461" w:rsidRPr="00662BA1">
        <w:rPr>
          <w:szCs w:val="28"/>
        </w:rPr>
        <w:t>Having rejected the applicant’</w:t>
      </w:r>
      <w:r w:rsidR="00176C73" w:rsidRPr="00662BA1">
        <w:rPr>
          <w:szCs w:val="28"/>
        </w:rPr>
        <w:t>s account for the reason those depo</w:t>
      </w:r>
      <w:r w:rsidR="00254461" w:rsidRPr="00662BA1">
        <w:rPr>
          <w:szCs w:val="28"/>
        </w:rPr>
        <w:t>sits were made</w:t>
      </w:r>
      <w:r w:rsidR="00CD33F8">
        <w:rPr>
          <w:szCs w:val="28"/>
        </w:rPr>
        <w:t>,</w:t>
      </w:r>
      <w:r w:rsidR="00254461" w:rsidRPr="00662BA1">
        <w:rPr>
          <w:szCs w:val="28"/>
        </w:rPr>
        <w:t xml:space="preserve"> the judge said, “</w:t>
      </w:r>
      <w:r w:rsidR="00176C73" w:rsidRPr="00662BA1">
        <w:rPr>
          <w:szCs w:val="28"/>
        </w:rPr>
        <w:t>I do not know the real reason and it is not for the court to speculate.</w:t>
      </w:r>
      <w:r w:rsidR="00254461" w:rsidRPr="00662BA1">
        <w:rPr>
          <w:szCs w:val="28"/>
        </w:rPr>
        <w:t>” </w:t>
      </w:r>
      <w:r w:rsidR="00176C73" w:rsidRPr="00662BA1">
        <w:rPr>
          <w:rStyle w:val="FootnoteReference"/>
          <w:szCs w:val="28"/>
        </w:rPr>
        <w:footnoteReference w:id="151"/>
      </w:r>
      <w:r w:rsidR="00176C73" w:rsidRPr="00662BA1">
        <w:rPr>
          <w:szCs w:val="28"/>
        </w:rPr>
        <w:t xml:space="preserve"> </w:t>
      </w:r>
      <w:r w:rsidR="00254461" w:rsidRPr="00662BA1">
        <w:rPr>
          <w:szCs w:val="28"/>
        </w:rPr>
        <w:t xml:space="preserve"> </w:t>
      </w:r>
      <w:r w:rsidR="00176C73" w:rsidRPr="00662BA1">
        <w:rPr>
          <w:szCs w:val="28"/>
        </w:rPr>
        <w:t xml:space="preserve">The criticism made of the judge that the finding was an insufficient basis upon which to proceed to convict the applicant is, with respect, misplaced. </w:t>
      </w:r>
      <w:r w:rsidR="00254461" w:rsidRPr="00662BA1">
        <w:rPr>
          <w:szCs w:val="28"/>
        </w:rPr>
        <w:t xml:space="preserve"> </w:t>
      </w:r>
      <w:r w:rsidR="00176C73" w:rsidRPr="00662BA1">
        <w:rPr>
          <w:szCs w:val="28"/>
        </w:rPr>
        <w:t xml:space="preserve">The deposits were unexplained. </w:t>
      </w:r>
      <w:r w:rsidR="00254461" w:rsidRPr="00662BA1">
        <w:rPr>
          <w:szCs w:val="28"/>
        </w:rPr>
        <w:t xml:space="preserve"> </w:t>
      </w:r>
      <w:r w:rsidR="00176C73" w:rsidRPr="00662BA1">
        <w:rPr>
          <w:szCs w:val="28"/>
        </w:rPr>
        <w:t xml:space="preserve">As noted earlier, the single remaining issue was, having regard to the evidence accepted by the </w:t>
      </w:r>
      <w:proofErr w:type="gramStart"/>
      <w:r w:rsidR="00176C73" w:rsidRPr="00662BA1">
        <w:rPr>
          <w:szCs w:val="28"/>
        </w:rPr>
        <w:t>judge,</w:t>
      </w:r>
      <w:proofErr w:type="gramEnd"/>
      <w:r w:rsidR="00176C73" w:rsidRPr="00662BA1">
        <w:rPr>
          <w:szCs w:val="28"/>
        </w:rPr>
        <w:t xml:space="preserve"> whether or not the applicant had reasonable grounds to believe that the monies were the proceeds of an indictable offence. </w:t>
      </w:r>
      <w:r w:rsidR="00254461" w:rsidRPr="00662BA1">
        <w:rPr>
          <w:szCs w:val="28"/>
        </w:rPr>
        <w:t xml:space="preserve"> </w:t>
      </w:r>
      <w:r w:rsidR="00176C73" w:rsidRPr="00662BA1">
        <w:rPr>
          <w:szCs w:val="28"/>
        </w:rPr>
        <w:t>As the judge no</w:t>
      </w:r>
      <w:r w:rsidR="00254461" w:rsidRPr="00662BA1">
        <w:rPr>
          <w:szCs w:val="28"/>
        </w:rPr>
        <w:t>ted, in rejecting the applicant’</w:t>
      </w:r>
      <w:r w:rsidR="00176C73" w:rsidRPr="00662BA1">
        <w:rPr>
          <w:szCs w:val="28"/>
        </w:rPr>
        <w:t>s evidence as an attempt to come up with a legitimate explanation of the deposits, the relevant context was the absence of any evidence:</w:t>
      </w:r>
      <w:r w:rsidR="00176C73" w:rsidRPr="00662BA1">
        <w:rPr>
          <w:rStyle w:val="FootnoteReference"/>
          <w:szCs w:val="28"/>
        </w:rPr>
        <w:footnoteReference w:id="152"/>
      </w:r>
    </w:p>
    <w:p w:rsidR="00AC2E71" w:rsidRDefault="00254461" w:rsidP="00254461">
      <w:pPr>
        <w:pStyle w:val="ListParagraph"/>
        <w:tabs>
          <w:tab w:val="clear" w:pos="1440"/>
          <w:tab w:val="clear" w:pos="4320"/>
          <w:tab w:val="clear" w:pos="9072"/>
          <w:tab w:val="left" w:pos="2074"/>
        </w:tabs>
        <w:snapToGrid/>
        <w:spacing w:before="240"/>
        <w:ind w:left="1454" w:right="835" w:hanging="187"/>
        <w:contextualSpacing w:val="0"/>
        <w:jc w:val="both"/>
        <w:rPr>
          <w:sz w:val="24"/>
          <w:szCs w:val="24"/>
        </w:rPr>
      </w:pPr>
      <w:r w:rsidRPr="00662BA1">
        <w:rPr>
          <w:sz w:val="24"/>
          <w:szCs w:val="24"/>
        </w:rPr>
        <w:t>“</w:t>
      </w:r>
      <w:r w:rsidRPr="00662BA1">
        <w:rPr>
          <w:sz w:val="24"/>
          <w:szCs w:val="24"/>
        </w:rPr>
        <w:tab/>
      </w:r>
      <w:r w:rsidR="00176C73" w:rsidRPr="00662BA1">
        <w:rPr>
          <w:sz w:val="24"/>
          <w:szCs w:val="24"/>
        </w:rPr>
        <w:t xml:space="preserve">…to explain all the funds that was moving into the accounts from all those individuals who did not have any apparent business connection </w:t>
      </w:r>
      <w:r w:rsidR="00AC2E71">
        <w:rPr>
          <w:sz w:val="24"/>
          <w:szCs w:val="24"/>
        </w:rPr>
        <w:t>to the defendant or his father.”</w:t>
      </w:r>
    </w:p>
    <w:p w:rsidR="00AC2E71" w:rsidRDefault="00AC2E71" w:rsidP="00AC2E71">
      <w:pPr>
        <w:pStyle w:val="ListParagraph"/>
        <w:tabs>
          <w:tab w:val="clear" w:pos="1440"/>
          <w:tab w:val="clear" w:pos="4320"/>
          <w:tab w:val="clear" w:pos="9072"/>
          <w:tab w:val="left" w:pos="2074"/>
        </w:tabs>
        <w:snapToGrid/>
        <w:spacing w:line="80" w:lineRule="exact"/>
        <w:ind w:left="1454" w:right="835" w:hanging="187"/>
        <w:contextualSpacing w:val="0"/>
        <w:jc w:val="both"/>
        <w:rPr>
          <w:sz w:val="24"/>
          <w:szCs w:val="24"/>
        </w:rPr>
      </w:pPr>
    </w:p>
    <w:p w:rsidR="00176C73" w:rsidRPr="00662BA1" w:rsidRDefault="00176C73" w:rsidP="00AC2E71">
      <w:pPr>
        <w:pStyle w:val="ListParagraph"/>
        <w:tabs>
          <w:tab w:val="clear" w:pos="1440"/>
          <w:tab w:val="clear" w:pos="4320"/>
          <w:tab w:val="clear" w:pos="9072"/>
          <w:tab w:val="left" w:pos="2074"/>
        </w:tabs>
        <w:snapToGrid/>
        <w:spacing w:line="80" w:lineRule="exact"/>
        <w:ind w:left="1454" w:right="835" w:hanging="187"/>
        <w:contextualSpacing w:val="0"/>
        <w:jc w:val="both"/>
        <w:rPr>
          <w:sz w:val="24"/>
          <w:szCs w:val="24"/>
        </w:rPr>
      </w:pPr>
    </w:p>
    <w:p w:rsidR="00176C73" w:rsidRPr="00662BA1" w:rsidRDefault="00052537" w:rsidP="00254461">
      <w:pPr>
        <w:pStyle w:val="Final"/>
        <w:tabs>
          <w:tab w:val="clear" w:pos="4320"/>
          <w:tab w:val="clear" w:pos="9072"/>
        </w:tabs>
        <w:snapToGrid/>
        <w:spacing w:before="360"/>
        <w:jc w:val="both"/>
        <w:rPr>
          <w:szCs w:val="28"/>
        </w:rPr>
      </w:pPr>
      <w:r w:rsidRPr="00662BA1">
        <w:rPr>
          <w:szCs w:val="28"/>
        </w:rPr>
        <w:fldChar w:fldCharType="begin"/>
      </w:r>
      <w:r w:rsidR="00254461" w:rsidRPr="00662BA1">
        <w:rPr>
          <w:szCs w:val="28"/>
        </w:rPr>
        <w:instrText xml:space="preserve"> AUTONUMOUT  </w:instrText>
      </w:r>
      <w:r w:rsidRPr="00662BA1">
        <w:rPr>
          <w:szCs w:val="28"/>
        </w:rPr>
        <w:fldChar w:fldCharType="end"/>
      </w:r>
      <w:r w:rsidR="00254461" w:rsidRPr="00662BA1">
        <w:rPr>
          <w:szCs w:val="28"/>
        </w:rPr>
        <w:tab/>
      </w:r>
      <w:r w:rsidR="00176C73" w:rsidRPr="00662BA1">
        <w:rPr>
          <w:szCs w:val="28"/>
        </w:rPr>
        <w:t>In determining his verdicts the judge adverted to and adopted his findings in respect of deposits into the bank accounts which the applicant had attributed to being repayments in respect of the alleged investments in Neptune City and the shares of Massive Resources.</w:t>
      </w:r>
      <w:r w:rsidR="00176C73" w:rsidRPr="00662BA1">
        <w:rPr>
          <w:rStyle w:val="FootnoteReference"/>
          <w:szCs w:val="28"/>
        </w:rPr>
        <w:footnoteReference w:id="153"/>
      </w:r>
      <w:r w:rsidR="00176C73" w:rsidRPr="00662BA1">
        <w:rPr>
          <w:szCs w:val="28"/>
        </w:rPr>
        <w:t xml:space="preserve"> </w:t>
      </w:r>
      <w:r w:rsidR="00254461" w:rsidRPr="00662BA1">
        <w:rPr>
          <w:szCs w:val="28"/>
        </w:rPr>
        <w:t xml:space="preserve"> In respect of Charge </w:t>
      </w:r>
      <w:r w:rsidR="00176C73" w:rsidRPr="00662BA1">
        <w:rPr>
          <w:szCs w:val="28"/>
        </w:rPr>
        <w:t>2, the judge det</w:t>
      </w:r>
      <w:r w:rsidR="00254461" w:rsidRPr="00662BA1">
        <w:rPr>
          <w:szCs w:val="28"/>
        </w:rPr>
        <w:t>ermined that the applicant was “not telling the truth”</w:t>
      </w:r>
      <w:r w:rsidR="00176C73" w:rsidRPr="00662BA1">
        <w:rPr>
          <w:szCs w:val="28"/>
        </w:rPr>
        <w:t xml:space="preserve">. </w:t>
      </w:r>
      <w:r w:rsidR="00254461" w:rsidRPr="00662BA1">
        <w:rPr>
          <w:szCs w:val="28"/>
        </w:rPr>
        <w:t xml:space="preserve"> First, in respect of “the real nature” of the deposit of $18 </w:t>
      </w:r>
      <w:r w:rsidR="00176C73" w:rsidRPr="00662BA1">
        <w:rPr>
          <w:szCs w:val="28"/>
        </w:rPr>
        <w:t>million by Cheung Chi Tai</w:t>
      </w:r>
      <w:r w:rsidR="00254461" w:rsidRPr="00662BA1">
        <w:rPr>
          <w:szCs w:val="28"/>
        </w:rPr>
        <w:t> </w:t>
      </w:r>
      <w:r w:rsidR="00176C73" w:rsidRPr="00662BA1">
        <w:rPr>
          <w:rStyle w:val="FootnoteReference"/>
          <w:szCs w:val="28"/>
        </w:rPr>
        <w:footnoteReference w:id="154"/>
      </w:r>
      <w:r w:rsidR="00254461" w:rsidRPr="00662BA1">
        <w:rPr>
          <w:szCs w:val="28"/>
        </w:rPr>
        <w:t xml:space="preserve"> </w:t>
      </w:r>
      <w:r w:rsidR="00176C73" w:rsidRPr="00662BA1">
        <w:rPr>
          <w:szCs w:val="28"/>
        </w:rPr>
        <w:t>and, secondly in respect of the alleged investment in</w:t>
      </w:r>
      <w:r w:rsidR="00254461" w:rsidRPr="00662BA1">
        <w:rPr>
          <w:szCs w:val="28"/>
        </w:rPr>
        <w:t xml:space="preserve"> Massive Resources shares, </w:t>
      </w:r>
      <w:r w:rsidR="00176C73" w:rsidRPr="00662BA1">
        <w:rPr>
          <w:szCs w:val="28"/>
        </w:rPr>
        <w:t>as to</w:t>
      </w:r>
      <w:r w:rsidR="00254461" w:rsidRPr="00662BA1">
        <w:rPr>
          <w:szCs w:val="28"/>
        </w:rPr>
        <w:t xml:space="preserve"> “</w:t>
      </w:r>
      <w:r w:rsidR="00176C73" w:rsidRPr="00662BA1">
        <w:rPr>
          <w:szCs w:val="28"/>
        </w:rPr>
        <w:t xml:space="preserve">the nature of the various transactions of money between himself, his father and the entities who were paying him and his father money, including </w:t>
      </w:r>
      <w:proofErr w:type="spellStart"/>
      <w:r w:rsidR="00176C73" w:rsidRPr="00662BA1">
        <w:rPr>
          <w:szCs w:val="28"/>
        </w:rPr>
        <w:t>Artune</w:t>
      </w:r>
      <w:proofErr w:type="spellEnd"/>
      <w:r w:rsidR="00176C73" w:rsidRPr="00662BA1">
        <w:rPr>
          <w:szCs w:val="28"/>
        </w:rPr>
        <w:t>.</w:t>
      </w:r>
      <w:r w:rsidR="00254461" w:rsidRPr="00662BA1">
        <w:rPr>
          <w:szCs w:val="28"/>
        </w:rPr>
        <w:t>”</w:t>
      </w:r>
      <w:r w:rsidR="00254461" w:rsidRPr="00662BA1">
        <w:rPr>
          <w:rFonts w:hint="eastAsia"/>
          <w:szCs w:val="28"/>
        </w:rPr>
        <w:t> </w:t>
      </w:r>
      <w:r w:rsidR="00176C73" w:rsidRPr="00662BA1">
        <w:rPr>
          <w:rStyle w:val="FootnoteReference"/>
          <w:szCs w:val="28"/>
        </w:rPr>
        <w:footnoteReference w:id="155"/>
      </w:r>
      <w:r w:rsidR="00176C73" w:rsidRPr="00662BA1">
        <w:rPr>
          <w:szCs w:val="28"/>
        </w:rPr>
        <w:t xml:space="preserve"> </w:t>
      </w:r>
      <w:r w:rsidR="00254461" w:rsidRPr="00662BA1">
        <w:rPr>
          <w:szCs w:val="28"/>
          <w:lang w:val="en-US"/>
        </w:rPr>
        <w:t xml:space="preserve"> </w:t>
      </w:r>
      <w:r w:rsidR="00176C73" w:rsidRPr="00662BA1">
        <w:rPr>
          <w:szCs w:val="28"/>
        </w:rPr>
        <w:t>He went on to conclude:</w:t>
      </w:r>
      <w:r w:rsidR="00176C73" w:rsidRPr="00662BA1">
        <w:rPr>
          <w:rStyle w:val="FootnoteReference"/>
          <w:szCs w:val="28"/>
        </w:rPr>
        <w:footnoteReference w:id="156"/>
      </w:r>
    </w:p>
    <w:p w:rsidR="006729E2" w:rsidRPr="00662BA1" w:rsidRDefault="00254461" w:rsidP="00254461">
      <w:pPr>
        <w:pStyle w:val="Final"/>
        <w:tabs>
          <w:tab w:val="clear" w:pos="4320"/>
          <w:tab w:val="clear" w:pos="9072"/>
          <w:tab w:val="left" w:pos="2074"/>
        </w:tabs>
        <w:snapToGrid/>
        <w:spacing w:before="240" w:line="240" w:lineRule="auto"/>
        <w:ind w:left="1454" w:right="835" w:hanging="187"/>
        <w:jc w:val="both"/>
        <w:rPr>
          <w:sz w:val="24"/>
          <w:szCs w:val="24"/>
        </w:rPr>
      </w:pPr>
      <w:r w:rsidRPr="00662BA1">
        <w:rPr>
          <w:sz w:val="24"/>
          <w:szCs w:val="24"/>
        </w:rPr>
        <w:t>“</w:t>
      </w:r>
      <w:r w:rsidRPr="00662BA1">
        <w:rPr>
          <w:sz w:val="24"/>
          <w:szCs w:val="24"/>
        </w:rPr>
        <w:tab/>
      </w:r>
      <w:r w:rsidR="00176C73" w:rsidRPr="00662BA1">
        <w:rPr>
          <w:sz w:val="24"/>
          <w:szCs w:val="24"/>
        </w:rPr>
        <w:t xml:space="preserve">I find that any right thinking member of the community, knowing the connection between Cheung Chi Tai and </w:t>
      </w:r>
      <w:proofErr w:type="spellStart"/>
      <w:r w:rsidR="00176C73" w:rsidRPr="00662BA1">
        <w:rPr>
          <w:sz w:val="24"/>
          <w:szCs w:val="24"/>
        </w:rPr>
        <w:t>Artune</w:t>
      </w:r>
      <w:proofErr w:type="spellEnd"/>
      <w:r w:rsidR="00176C73" w:rsidRPr="00662BA1">
        <w:rPr>
          <w:sz w:val="24"/>
          <w:szCs w:val="24"/>
        </w:rPr>
        <w:t xml:space="preserve"> and Lin </w:t>
      </w:r>
      <w:proofErr w:type="spellStart"/>
      <w:r w:rsidR="00176C73" w:rsidRPr="00662BA1">
        <w:rPr>
          <w:sz w:val="24"/>
          <w:szCs w:val="24"/>
        </w:rPr>
        <w:t>Cheuk</w:t>
      </w:r>
      <w:proofErr w:type="spellEnd"/>
      <w:r w:rsidR="00176C73" w:rsidRPr="00662BA1">
        <w:rPr>
          <w:sz w:val="24"/>
          <w:szCs w:val="24"/>
        </w:rPr>
        <w:t xml:space="preserve"> Fung and the casino in Macau would have reasonable grounds to believe that the money deposited and dealt with in the account represented wholly or in part, directly or indirectly proceeds of an indictable offence. </w:t>
      </w:r>
      <w:r w:rsidR="006729E2" w:rsidRPr="00662BA1">
        <w:rPr>
          <w:rFonts w:hint="eastAsia"/>
          <w:sz w:val="24"/>
          <w:szCs w:val="24"/>
        </w:rPr>
        <w:t xml:space="preserve"> </w:t>
      </w:r>
      <w:r w:rsidR="00176C73" w:rsidRPr="00662BA1">
        <w:rPr>
          <w:sz w:val="24"/>
          <w:szCs w:val="24"/>
        </w:rPr>
        <w:t>I find therefore the defendant had such re</w:t>
      </w:r>
      <w:r w:rsidR="006729E2" w:rsidRPr="00662BA1">
        <w:rPr>
          <w:sz w:val="24"/>
          <w:szCs w:val="24"/>
        </w:rPr>
        <w:t>asonable grounds to so believe…”</w:t>
      </w:r>
    </w:p>
    <w:p w:rsidR="006729E2" w:rsidRPr="00662BA1" w:rsidRDefault="006729E2" w:rsidP="006729E2">
      <w:pPr>
        <w:pStyle w:val="Final"/>
        <w:tabs>
          <w:tab w:val="clear" w:pos="4320"/>
          <w:tab w:val="clear" w:pos="9072"/>
          <w:tab w:val="left" w:pos="2074"/>
        </w:tabs>
        <w:snapToGrid/>
        <w:spacing w:line="80" w:lineRule="exact"/>
        <w:ind w:left="1454" w:right="835" w:hanging="187"/>
        <w:jc w:val="both"/>
        <w:rPr>
          <w:sz w:val="24"/>
          <w:szCs w:val="24"/>
        </w:rPr>
      </w:pPr>
    </w:p>
    <w:p w:rsidR="00176C73" w:rsidRPr="00662BA1" w:rsidRDefault="00176C73" w:rsidP="006729E2">
      <w:pPr>
        <w:pStyle w:val="Final"/>
        <w:tabs>
          <w:tab w:val="clear" w:pos="4320"/>
          <w:tab w:val="clear" w:pos="9072"/>
          <w:tab w:val="left" w:pos="2074"/>
        </w:tabs>
        <w:snapToGrid/>
        <w:spacing w:line="80" w:lineRule="exact"/>
        <w:ind w:left="1454" w:right="835" w:hanging="187"/>
        <w:jc w:val="both"/>
        <w:rPr>
          <w:sz w:val="24"/>
          <w:szCs w:val="24"/>
        </w:rPr>
      </w:pPr>
    </w:p>
    <w:p w:rsidR="00E57DEB" w:rsidRDefault="00052537" w:rsidP="006729E2">
      <w:pPr>
        <w:pStyle w:val="Final"/>
        <w:tabs>
          <w:tab w:val="clear" w:pos="4320"/>
          <w:tab w:val="clear" w:pos="9072"/>
        </w:tabs>
        <w:snapToGrid/>
        <w:spacing w:before="360"/>
        <w:jc w:val="both"/>
        <w:rPr>
          <w:szCs w:val="28"/>
        </w:rPr>
      </w:pPr>
      <w:r w:rsidRPr="00662BA1">
        <w:rPr>
          <w:szCs w:val="24"/>
        </w:rPr>
        <w:fldChar w:fldCharType="begin"/>
      </w:r>
      <w:r w:rsidR="006729E2" w:rsidRPr="00662BA1">
        <w:rPr>
          <w:szCs w:val="24"/>
        </w:rPr>
        <w:instrText xml:space="preserve"> AUTONUMOUT  </w:instrText>
      </w:r>
      <w:r w:rsidRPr="00662BA1">
        <w:rPr>
          <w:szCs w:val="24"/>
        </w:rPr>
        <w:fldChar w:fldCharType="end"/>
      </w:r>
      <w:r w:rsidR="006729E2" w:rsidRPr="00662BA1">
        <w:rPr>
          <w:szCs w:val="24"/>
        </w:rPr>
        <w:tab/>
      </w:r>
      <w:r w:rsidR="00176C73" w:rsidRPr="00662BA1">
        <w:rPr>
          <w:szCs w:val="28"/>
        </w:rPr>
        <w:t>The context in which the judge made that finding was the determination he had made immediately before, namely that the deposits</w:t>
      </w:r>
      <w:r w:rsidR="006729E2" w:rsidRPr="00662BA1">
        <w:rPr>
          <w:szCs w:val="28"/>
        </w:rPr>
        <w:t xml:space="preserve"> of a total of $28</w:t>
      </w:r>
      <w:r w:rsidR="006729E2" w:rsidRPr="00662BA1">
        <w:rPr>
          <w:szCs w:val="28"/>
          <w:lang w:val="en-US"/>
        </w:rPr>
        <w:t>  </w:t>
      </w:r>
      <w:r w:rsidR="00176C73" w:rsidRPr="00662BA1">
        <w:rPr>
          <w:szCs w:val="28"/>
        </w:rPr>
        <w:t xml:space="preserve">million into that account by cheques drawn on the accounts of Cheung Chi Tai and </w:t>
      </w:r>
      <w:proofErr w:type="spellStart"/>
      <w:r w:rsidR="00176C73" w:rsidRPr="00662BA1">
        <w:rPr>
          <w:szCs w:val="28"/>
        </w:rPr>
        <w:t>Artune</w:t>
      </w:r>
      <w:proofErr w:type="spellEnd"/>
      <w:r w:rsidR="00176C73" w:rsidRPr="00662BA1">
        <w:rPr>
          <w:szCs w:val="28"/>
        </w:rPr>
        <w:t xml:space="preserve"> </w:t>
      </w:r>
      <w:r w:rsidR="006729E2" w:rsidRPr="00662BA1">
        <w:rPr>
          <w:szCs w:val="28"/>
        </w:rPr>
        <w:t>were “unexplained deposits”</w:t>
      </w:r>
      <w:r w:rsidR="00176C73" w:rsidRPr="00662BA1">
        <w:rPr>
          <w:szCs w:val="28"/>
        </w:rPr>
        <w:t xml:space="preserve"> and constituted 82.9% of the deposits by cheque into that account.</w:t>
      </w:r>
      <w:r w:rsidR="006729E2" w:rsidRPr="00662BA1">
        <w:rPr>
          <w:rFonts w:hint="eastAsia"/>
          <w:szCs w:val="28"/>
        </w:rPr>
        <w:t xml:space="preserve"> </w:t>
      </w:r>
      <w:r w:rsidR="00176C73" w:rsidRPr="00662BA1">
        <w:rPr>
          <w:szCs w:val="28"/>
        </w:rPr>
        <w:t xml:space="preserve"> The connection to the casino to which the judge referred was that Cheung Chi Tai and Lin </w:t>
      </w:r>
      <w:proofErr w:type="spellStart"/>
      <w:r w:rsidR="00176C73" w:rsidRPr="00662BA1">
        <w:rPr>
          <w:szCs w:val="28"/>
        </w:rPr>
        <w:t>Cheuk</w:t>
      </w:r>
      <w:proofErr w:type="spellEnd"/>
      <w:r w:rsidR="00176C73" w:rsidRPr="00662BA1">
        <w:rPr>
          <w:szCs w:val="28"/>
        </w:rPr>
        <w:t xml:space="preserve"> Fung were both shareholders of Massive Resources, which operated the casino, and </w:t>
      </w:r>
      <w:proofErr w:type="spellStart"/>
      <w:r w:rsidR="00176C73" w:rsidRPr="00662BA1">
        <w:rPr>
          <w:szCs w:val="28"/>
        </w:rPr>
        <w:t>Artune</w:t>
      </w:r>
      <w:proofErr w:type="spellEnd"/>
      <w:r w:rsidR="00176C73" w:rsidRPr="00662BA1">
        <w:rPr>
          <w:szCs w:val="28"/>
        </w:rPr>
        <w:t xml:space="preserve"> was </w:t>
      </w:r>
      <w:r w:rsidR="00CD33F8">
        <w:rPr>
          <w:szCs w:val="28"/>
        </w:rPr>
        <w:t xml:space="preserve">a </w:t>
      </w:r>
      <w:r w:rsidR="00176C73" w:rsidRPr="00662BA1">
        <w:rPr>
          <w:szCs w:val="28"/>
        </w:rPr>
        <w:t xml:space="preserve">company owned by Lin </w:t>
      </w:r>
      <w:proofErr w:type="spellStart"/>
      <w:r w:rsidR="00176C73" w:rsidRPr="00662BA1">
        <w:rPr>
          <w:szCs w:val="28"/>
        </w:rPr>
        <w:t>Cheuk</w:t>
      </w:r>
      <w:proofErr w:type="spellEnd"/>
      <w:r w:rsidR="00176C73" w:rsidRPr="00662BA1">
        <w:rPr>
          <w:szCs w:val="28"/>
        </w:rPr>
        <w:t xml:space="preserve"> Fung.</w:t>
      </w:r>
      <w:r w:rsidR="00176C73" w:rsidRPr="00662BA1">
        <w:rPr>
          <w:rStyle w:val="FootnoteReference"/>
          <w:szCs w:val="28"/>
        </w:rPr>
        <w:footnoteReference w:id="157"/>
      </w:r>
    </w:p>
    <w:p w:rsidR="006729E2" w:rsidRPr="00662BA1" w:rsidRDefault="00176C73" w:rsidP="006729E2">
      <w:pPr>
        <w:pStyle w:val="Final"/>
        <w:tabs>
          <w:tab w:val="clear" w:pos="4320"/>
          <w:tab w:val="clear" w:pos="9072"/>
        </w:tabs>
        <w:snapToGrid/>
        <w:spacing w:before="360"/>
        <w:jc w:val="both"/>
        <w:rPr>
          <w:i/>
          <w:szCs w:val="28"/>
        </w:rPr>
      </w:pPr>
      <w:r w:rsidRPr="00662BA1">
        <w:rPr>
          <w:i/>
          <w:szCs w:val="28"/>
        </w:rPr>
        <w:t>Conclusion</w:t>
      </w:r>
    </w:p>
    <w:p w:rsidR="006729E2" w:rsidRPr="00662BA1" w:rsidRDefault="00052537" w:rsidP="006729E2">
      <w:pPr>
        <w:pStyle w:val="Final"/>
        <w:tabs>
          <w:tab w:val="clear" w:pos="4320"/>
          <w:tab w:val="clear" w:pos="9072"/>
        </w:tabs>
        <w:snapToGrid/>
        <w:spacing w:before="360"/>
        <w:jc w:val="both"/>
        <w:rPr>
          <w:szCs w:val="28"/>
        </w:rPr>
      </w:pPr>
      <w:r w:rsidRPr="00662BA1">
        <w:rPr>
          <w:szCs w:val="28"/>
        </w:rPr>
        <w:fldChar w:fldCharType="begin"/>
      </w:r>
      <w:r w:rsidR="006729E2" w:rsidRPr="00662BA1">
        <w:rPr>
          <w:szCs w:val="28"/>
        </w:rPr>
        <w:instrText xml:space="preserve"> </w:instrText>
      </w:r>
      <w:r w:rsidR="006729E2" w:rsidRPr="00662BA1">
        <w:rPr>
          <w:rFonts w:hint="eastAsia"/>
          <w:szCs w:val="28"/>
        </w:rPr>
        <w:instrText xml:space="preserve">AUTONUMOUT </w:instrText>
      </w:r>
      <w:r w:rsidR="006729E2" w:rsidRPr="00662BA1">
        <w:rPr>
          <w:szCs w:val="28"/>
        </w:rPr>
        <w:instrText xml:space="preserve"> </w:instrText>
      </w:r>
      <w:r w:rsidRPr="00662BA1">
        <w:rPr>
          <w:szCs w:val="28"/>
        </w:rPr>
        <w:fldChar w:fldCharType="end"/>
      </w:r>
      <w:r w:rsidR="006729E2" w:rsidRPr="00662BA1">
        <w:rPr>
          <w:szCs w:val="28"/>
        </w:rPr>
        <w:tab/>
      </w:r>
      <w:r w:rsidR="00176C73" w:rsidRPr="00662BA1">
        <w:rPr>
          <w:szCs w:val="28"/>
        </w:rPr>
        <w:t xml:space="preserve">We are satisfied that the judge was entitled to reject the </w:t>
      </w:r>
      <w:r w:rsidR="006729E2" w:rsidRPr="00662BA1">
        <w:rPr>
          <w:szCs w:val="28"/>
        </w:rPr>
        <w:t>applicant’</w:t>
      </w:r>
      <w:r w:rsidR="00176C73" w:rsidRPr="00662BA1">
        <w:rPr>
          <w:szCs w:val="28"/>
        </w:rPr>
        <w:t xml:space="preserve">s evidence both as to his investments in Neptune Club and shares of Massive Resources and that stipulated deposits in the bank accounts were repayments of those investments. </w:t>
      </w:r>
      <w:r w:rsidR="006729E2" w:rsidRPr="00662BA1">
        <w:rPr>
          <w:rFonts w:hint="eastAsia"/>
          <w:szCs w:val="28"/>
        </w:rPr>
        <w:t xml:space="preserve"> </w:t>
      </w:r>
      <w:r w:rsidR="00176C73" w:rsidRPr="00662BA1">
        <w:rPr>
          <w:szCs w:val="28"/>
        </w:rPr>
        <w:t>Further, he was entitled to determine, having regard to all the evidence, that the applicant had reasonable grounds to believe that those monies were the proceeds of an indictable offence.</w:t>
      </w:r>
    </w:p>
    <w:p w:rsidR="006729E2" w:rsidRPr="00662BA1" w:rsidRDefault="00176C73" w:rsidP="006729E2">
      <w:pPr>
        <w:pStyle w:val="Final"/>
        <w:tabs>
          <w:tab w:val="clear" w:pos="4320"/>
          <w:tab w:val="clear" w:pos="9072"/>
        </w:tabs>
        <w:snapToGrid/>
        <w:spacing w:before="360"/>
        <w:jc w:val="both"/>
        <w:rPr>
          <w:i/>
          <w:szCs w:val="28"/>
        </w:rPr>
      </w:pPr>
      <w:r w:rsidRPr="00662BA1">
        <w:rPr>
          <w:i/>
          <w:szCs w:val="28"/>
        </w:rPr>
        <w:t>Cash deposits</w:t>
      </w:r>
    </w:p>
    <w:p w:rsidR="00176C73" w:rsidRPr="00662BA1" w:rsidRDefault="00052537" w:rsidP="006729E2">
      <w:pPr>
        <w:pStyle w:val="Final"/>
        <w:tabs>
          <w:tab w:val="clear" w:pos="4320"/>
          <w:tab w:val="clear" w:pos="9072"/>
        </w:tabs>
        <w:snapToGrid/>
        <w:spacing w:before="360"/>
        <w:jc w:val="both"/>
        <w:rPr>
          <w:szCs w:val="28"/>
        </w:rPr>
      </w:pPr>
      <w:r w:rsidRPr="00662BA1">
        <w:rPr>
          <w:szCs w:val="28"/>
        </w:rPr>
        <w:fldChar w:fldCharType="begin"/>
      </w:r>
      <w:r w:rsidR="006729E2" w:rsidRPr="00662BA1">
        <w:rPr>
          <w:szCs w:val="28"/>
        </w:rPr>
        <w:instrText xml:space="preserve"> AUTONUMOUT  </w:instrText>
      </w:r>
      <w:r w:rsidRPr="00662BA1">
        <w:rPr>
          <w:szCs w:val="28"/>
        </w:rPr>
        <w:fldChar w:fldCharType="end"/>
      </w:r>
      <w:r w:rsidR="006729E2" w:rsidRPr="00662BA1">
        <w:rPr>
          <w:szCs w:val="28"/>
        </w:rPr>
        <w:tab/>
      </w:r>
      <w:r w:rsidR="00176C73" w:rsidRPr="00662BA1">
        <w:rPr>
          <w:szCs w:val="28"/>
        </w:rPr>
        <w:t>As the judge noted, the prosecution pointed</w:t>
      </w:r>
      <w:r w:rsidR="006729E2" w:rsidRPr="00662BA1">
        <w:rPr>
          <w:szCs w:val="28"/>
        </w:rPr>
        <w:t xml:space="preserve"> to the fact that the total of “</w:t>
      </w:r>
      <w:r w:rsidR="00176C73" w:rsidRPr="00662BA1">
        <w:rPr>
          <w:szCs w:val="28"/>
        </w:rPr>
        <w:t>$95 million odd</w:t>
      </w:r>
      <w:r w:rsidR="006729E2" w:rsidRPr="00662BA1">
        <w:rPr>
          <w:szCs w:val="28"/>
        </w:rPr>
        <w:t>”</w:t>
      </w:r>
      <w:r w:rsidR="00176C73" w:rsidRPr="00662BA1">
        <w:rPr>
          <w:szCs w:val="28"/>
        </w:rPr>
        <w:t xml:space="preserve"> was deposited in cash into the five bank accounts as giving rise to reasonable grounds to believe that the monies were the proceeds of an indictable offence.</w:t>
      </w:r>
      <w:r w:rsidR="00176C73" w:rsidRPr="00662BA1">
        <w:rPr>
          <w:rStyle w:val="FootnoteReference"/>
          <w:szCs w:val="28"/>
        </w:rPr>
        <w:footnoteReference w:id="158"/>
      </w:r>
      <w:r w:rsidR="006729E2" w:rsidRPr="00662BA1">
        <w:rPr>
          <w:rFonts w:hint="eastAsia"/>
          <w:szCs w:val="28"/>
        </w:rPr>
        <w:t xml:space="preserve"> </w:t>
      </w:r>
      <w:r w:rsidR="00176C73" w:rsidRPr="00662BA1">
        <w:rPr>
          <w:szCs w:val="28"/>
        </w:rPr>
        <w:t xml:space="preserve"> The judge noted that the applicant explained withdrawals of cash from his bank accounts as being the quickest way to settle a margin call in hi</w:t>
      </w:r>
      <w:r w:rsidR="006729E2" w:rsidRPr="00662BA1">
        <w:rPr>
          <w:szCs w:val="28"/>
        </w:rPr>
        <w:t>s securities accounts, namely “</w:t>
      </w:r>
      <w:r w:rsidR="00176C73" w:rsidRPr="00662BA1">
        <w:rPr>
          <w:szCs w:val="28"/>
        </w:rPr>
        <w:t>to deposit cash directly into the brokerage firms’ bank accounts.</w:t>
      </w:r>
      <w:r w:rsidR="006729E2" w:rsidRPr="00662BA1">
        <w:rPr>
          <w:szCs w:val="28"/>
        </w:rPr>
        <w:t>”</w:t>
      </w:r>
      <w:r w:rsidR="006729E2" w:rsidRPr="00662BA1">
        <w:rPr>
          <w:rFonts w:hint="eastAsia"/>
          <w:szCs w:val="28"/>
        </w:rPr>
        <w:t> </w:t>
      </w:r>
      <w:r w:rsidR="00176C73" w:rsidRPr="00662BA1">
        <w:rPr>
          <w:rStyle w:val="FootnoteReference"/>
          <w:szCs w:val="28"/>
        </w:rPr>
        <w:footnoteReference w:id="159"/>
      </w:r>
      <w:r w:rsidR="00176C73" w:rsidRPr="00662BA1">
        <w:rPr>
          <w:szCs w:val="28"/>
        </w:rPr>
        <w:t xml:space="preserve"> </w:t>
      </w:r>
      <w:r w:rsidR="006729E2" w:rsidRPr="00662BA1">
        <w:rPr>
          <w:szCs w:val="28"/>
          <w:lang w:val="en-US"/>
        </w:rPr>
        <w:t xml:space="preserve"> </w:t>
      </w:r>
      <w:r w:rsidR="00176C73" w:rsidRPr="00662BA1">
        <w:rPr>
          <w:szCs w:val="28"/>
        </w:rPr>
        <w:t>However, the judge went on to observe:</w:t>
      </w:r>
      <w:r w:rsidR="00176C73" w:rsidRPr="00662BA1">
        <w:rPr>
          <w:rStyle w:val="FootnoteReference"/>
          <w:szCs w:val="28"/>
        </w:rPr>
        <w:footnoteReference w:id="160"/>
      </w:r>
    </w:p>
    <w:p w:rsidR="006729E2" w:rsidRPr="00662BA1" w:rsidRDefault="006729E2" w:rsidP="006729E2">
      <w:pPr>
        <w:pStyle w:val="Final"/>
        <w:tabs>
          <w:tab w:val="clear" w:pos="4320"/>
          <w:tab w:val="clear" w:pos="9072"/>
          <w:tab w:val="left" w:pos="2074"/>
        </w:tabs>
        <w:snapToGrid/>
        <w:spacing w:before="240" w:line="240" w:lineRule="auto"/>
        <w:ind w:left="1454" w:right="835" w:hanging="187"/>
        <w:jc w:val="both"/>
        <w:rPr>
          <w:sz w:val="24"/>
          <w:szCs w:val="24"/>
        </w:rPr>
      </w:pPr>
      <w:r w:rsidRPr="00662BA1">
        <w:rPr>
          <w:sz w:val="24"/>
          <w:szCs w:val="24"/>
        </w:rPr>
        <w:t>“</w:t>
      </w:r>
      <w:r w:rsidRPr="00662BA1">
        <w:rPr>
          <w:sz w:val="24"/>
          <w:szCs w:val="24"/>
        </w:rPr>
        <w:tab/>
      </w:r>
      <w:r w:rsidR="00176C73" w:rsidRPr="00662BA1">
        <w:rPr>
          <w:sz w:val="24"/>
          <w:szCs w:val="24"/>
        </w:rPr>
        <w:t xml:space="preserve">It does not however explain why third parties would make cash deposits into </w:t>
      </w:r>
      <w:proofErr w:type="gramStart"/>
      <w:r w:rsidR="00176C73" w:rsidRPr="00662BA1">
        <w:rPr>
          <w:sz w:val="24"/>
          <w:szCs w:val="24"/>
        </w:rPr>
        <w:t>his own</w:t>
      </w:r>
      <w:proofErr w:type="gramEnd"/>
      <w:r w:rsidR="00176C73" w:rsidRPr="00662BA1">
        <w:rPr>
          <w:sz w:val="24"/>
          <w:szCs w:val="24"/>
        </w:rPr>
        <w:t xml:space="preserve"> bank a</w:t>
      </w:r>
      <w:r w:rsidRPr="00662BA1">
        <w:rPr>
          <w:sz w:val="24"/>
          <w:szCs w:val="24"/>
        </w:rPr>
        <w:t>ccount.”</w:t>
      </w:r>
    </w:p>
    <w:p w:rsidR="006729E2" w:rsidRPr="00662BA1" w:rsidRDefault="006729E2" w:rsidP="006729E2">
      <w:pPr>
        <w:pStyle w:val="Final"/>
        <w:tabs>
          <w:tab w:val="clear" w:pos="4320"/>
          <w:tab w:val="clear" w:pos="9072"/>
          <w:tab w:val="left" w:pos="2074"/>
        </w:tabs>
        <w:snapToGrid/>
        <w:spacing w:line="80" w:lineRule="exact"/>
        <w:ind w:left="1454" w:right="835" w:hanging="187"/>
        <w:jc w:val="both"/>
        <w:rPr>
          <w:sz w:val="24"/>
          <w:szCs w:val="24"/>
        </w:rPr>
      </w:pPr>
    </w:p>
    <w:p w:rsidR="00176C73" w:rsidRPr="00662BA1" w:rsidRDefault="00176C73" w:rsidP="006729E2">
      <w:pPr>
        <w:pStyle w:val="Final"/>
        <w:tabs>
          <w:tab w:val="clear" w:pos="4320"/>
          <w:tab w:val="clear" w:pos="9072"/>
          <w:tab w:val="left" w:pos="2074"/>
        </w:tabs>
        <w:snapToGrid/>
        <w:spacing w:line="80" w:lineRule="exact"/>
        <w:ind w:left="1454" w:right="835" w:hanging="187"/>
        <w:jc w:val="both"/>
        <w:rPr>
          <w:sz w:val="24"/>
          <w:szCs w:val="24"/>
        </w:rPr>
      </w:pPr>
    </w:p>
    <w:p w:rsidR="00176C73" w:rsidRPr="00662BA1" w:rsidRDefault="00052537" w:rsidP="006729E2">
      <w:pPr>
        <w:tabs>
          <w:tab w:val="clear" w:pos="4320"/>
        </w:tabs>
        <w:snapToGrid/>
        <w:spacing w:before="360" w:line="360" w:lineRule="auto"/>
        <w:jc w:val="both"/>
      </w:pPr>
      <w:r w:rsidRPr="00662BA1">
        <w:fldChar w:fldCharType="begin"/>
      </w:r>
      <w:r w:rsidR="006729E2" w:rsidRPr="00662BA1">
        <w:instrText xml:space="preserve"> AUTONUMOUT  </w:instrText>
      </w:r>
      <w:r w:rsidRPr="00662BA1">
        <w:fldChar w:fldCharType="end"/>
      </w:r>
      <w:r w:rsidR="006729E2" w:rsidRPr="00662BA1">
        <w:tab/>
      </w:r>
      <w:r w:rsidR="00176C73" w:rsidRPr="00662BA1">
        <w:t>In that context, it is to be noted</w:t>
      </w:r>
      <w:r w:rsidR="006729E2" w:rsidRPr="00662BA1">
        <w:t xml:space="preserve"> that it was the evidence of Mr</w:t>
      </w:r>
      <w:r w:rsidR="006729E2" w:rsidRPr="00662BA1">
        <w:rPr>
          <w:lang w:val="en-US"/>
        </w:rPr>
        <w:t> </w:t>
      </w:r>
      <w:r w:rsidR="00176C73" w:rsidRPr="00662BA1">
        <w:t>Sutton that a total of $40,100,000 was deposited in cash into Accounts A-C and Account E in 21 transactions of $1,000,000 or more</w:t>
      </w:r>
      <w:r w:rsidR="00CD33F8">
        <w:t>, of</w:t>
      </w:r>
      <w:r w:rsidR="00176C73" w:rsidRPr="00662BA1">
        <w:t xml:space="preserve"> which 19 deposits, to a total of $37,600,000, were deposits by unknown persons.</w:t>
      </w:r>
      <w:r w:rsidR="00176C73" w:rsidRPr="00662BA1">
        <w:rPr>
          <w:rStyle w:val="FootnoteReference"/>
        </w:rPr>
        <w:footnoteReference w:id="161"/>
      </w:r>
    </w:p>
    <w:p w:rsidR="00176C73" w:rsidRPr="00662BA1" w:rsidRDefault="00052537" w:rsidP="006729E2">
      <w:pPr>
        <w:tabs>
          <w:tab w:val="clear" w:pos="4320"/>
        </w:tabs>
        <w:snapToGrid/>
        <w:spacing w:before="360" w:line="360" w:lineRule="auto"/>
        <w:jc w:val="both"/>
      </w:pPr>
      <w:r w:rsidRPr="00662BA1">
        <w:fldChar w:fldCharType="begin"/>
      </w:r>
      <w:r w:rsidR="006729E2" w:rsidRPr="00662BA1">
        <w:instrText xml:space="preserve"> AUTONUMOUT  </w:instrText>
      </w:r>
      <w:r w:rsidRPr="00662BA1">
        <w:fldChar w:fldCharType="end"/>
      </w:r>
      <w:r w:rsidR="006729E2" w:rsidRPr="00662BA1">
        <w:tab/>
      </w:r>
      <w:r w:rsidR="00176C73" w:rsidRPr="00662BA1">
        <w:t>Furthermore, the judge said:</w:t>
      </w:r>
      <w:r w:rsidR="00176C73" w:rsidRPr="00662BA1">
        <w:rPr>
          <w:rStyle w:val="FootnoteReference"/>
        </w:rPr>
        <w:footnoteReference w:id="162"/>
      </w:r>
    </w:p>
    <w:p w:rsidR="00AC2E71" w:rsidRDefault="006729E2" w:rsidP="006729E2">
      <w:pPr>
        <w:pStyle w:val="ListParagraph"/>
        <w:tabs>
          <w:tab w:val="clear" w:pos="1440"/>
          <w:tab w:val="clear" w:pos="4320"/>
          <w:tab w:val="clear" w:pos="9072"/>
          <w:tab w:val="left" w:pos="2074"/>
        </w:tabs>
        <w:snapToGrid/>
        <w:spacing w:before="240"/>
        <w:ind w:left="1454" w:right="835" w:hanging="187"/>
        <w:jc w:val="both"/>
        <w:rPr>
          <w:sz w:val="24"/>
          <w:szCs w:val="24"/>
        </w:rPr>
      </w:pPr>
      <w:r w:rsidRPr="00662BA1">
        <w:rPr>
          <w:sz w:val="24"/>
          <w:szCs w:val="24"/>
        </w:rPr>
        <w:t>“</w:t>
      </w:r>
      <w:r w:rsidRPr="00662BA1">
        <w:rPr>
          <w:sz w:val="24"/>
          <w:szCs w:val="24"/>
        </w:rPr>
        <w:tab/>
      </w:r>
      <w:r w:rsidR="00176C73" w:rsidRPr="00662BA1">
        <w:rPr>
          <w:sz w:val="24"/>
          <w:szCs w:val="24"/>
        </w:rPr>
        <w:t xml:space="preserve">According to the evidence of the various securities firm employees, a deposit in cash would at most be just half a day or a day faster than a bank transfer. </w:t>
      </w:r>
      <w:r w:rsidR="008D7DA1" w:rsidRPr="00662BA1">
        <w:rPr>
          <w:rFonts w:hint="eastAsia"/>
          <w:sz w:val="24"/>
          <w:szCs w:val="24"/>
        </w:rPr>
        <w:t xml:space="preserve"> </w:t>
      </w:r>
      <w:r w:rsidR="00176C73" w:rsidRPr="00662BA1">
        <w:rPr>
          <w:sz w:val="24"/>
          <w:szCs w:val="24"/>
        </w:rPr>
        <w:t>If the defendant was in such good standing, and if he is telling the truth that the securities firms would grant him leeway, there was no good reason for him to u</w:t>
      </w:r>
      <w:r w:rsidR="008D7DA1" w:rsidRPr="00662BA1">
        <w:rPr>
          <w:sz w:val="24"/>
          <w:szCs w:val="24"/>
        </w:rPr>
        <w:t>se cash to settle the margins.”</w:t>
      </w:r>
    </w:p>
    <w:p w:rsidR="00AC2E71" w:rsidRDefault="00AC2E71" w:rsidP="00AC2E71">
      <w:pPr>
        <w:pStyle w:val="ListParagraph"/>
        <w:tabs>
          <w:tab w:val="clear" w:pos="1440"/>
          <w:tab w:val="clear" w:pos="4320"/>
          <w:tab w:val="clear" w:pos="9072"/>
          <w:tab w:val="left" w:pos="2074"/>
        </w:tabs>
        <w:snapToGrid/>
        <w:spacing w:line="80" w:lineRule="exact"/>
        <w:ind w:left="1454" w:right="835" w:hanging="187"/>
        <w:jc w:val="both"/>
        <w:rPr>
          <w:sz w:val="24"/>
          <w:szCs w:val="24"/>
        </w:rPr>
      </w:pPr>
    </w:p>
    <w:p w:rsidR="008D7DA1" w:rsidRPr="00662BA1" w:rsidRDefault="008D7DA1" w:rsidP="00AC2E71">
      <w:pPr>
        <w:pStyle w:val="ListParagraph"/>
        <w:tabs>
          <w:tab w:val="clear" w:pos="1440"/>
          <w:tab w:val="clear" w:pos="4320"/>
          <w:tab w:val="clear" w:pos="9072"/>
          <w:tab w:val="left" w:pos="2074"/>
        </w:tabs>
        <w:snapToGrid/>
        <w:spacing w:line="80" w:lineRule="exact"/>
        <w:ind w:left="1454" w:right="835" w:hanging="187"/>
        <w:jc w:val="both"/>
        <w:rPr>
          <w:sz w:val="24"/>
          <w:szCs w:val="24"/>
        </w:rPr>
      </w:pPr>
    </w:p>
    <w:p w:rsidR="008D7DA1" w:rsidRPr="00662BA1" w:rsidRDefault="008D7DA1" w:rsidP="008D7DA1">
      <w:pPr>
        <w:pStyle w:val="ListParagraph"/>
        <w:tabs>
          <w:tab w:val="clear" w:pos="1440"/>
          <w:tab w:val="clear" w:pos="4320"/>
          <w:tab w:val="clear" w:pos="9072"/>
          <w:tab w:val="left" w:pos="2074"/>
        </w:tabs>
        <w:snapToGrid/>
        <w:spacing w:line="80" w:lineRule="exact"/>
        <w:ind w:left="1454" w:right="835" w:hanging="187"/>
        <w:jc w:val="both"/>
        <w:rPr>
          <w:sz w:val="24"/>
          <w:szCs w:val="24"/>
        </w:rPr>
      </w:pPr>
    </w:p>
    <w:p w:rsidR="008D7DA1" w:rsidRPr="00662BA1" w:rsidRDefault="008D7DA1" w:rsidP="008D7DA1">
      <w:pPr>
        <w:pStyle w:val="ListParagraph"/>
        <w:tabs>
          <w:tab w:val="clear" w:pos="1440"/>
          <w:tab w:val="clear" w:pos="4320"/>
          <w:tab w:val="clear" w:pos="9072"/>
          <w:tab w:val="left" w:pos="2074"/>
        </w:tabs>
        <w:snapToGrid/>
        <w:spacing w:line="80" w:lineRule="exact"/>
        <w:ind w:left="1454" w:right="835" w:hanging="187"/>
        <w:jc w:val="both"/>
        <w:rPr>
          <w:sz w:val="24"/>
          <w:szCs w:val="24"/>
        </w:rPr>
      </w:pPr>
    </w:p>
    <w:p w:rsidR="008D7DA1" w:rsidRPr="00662BA1" w:rsidRDefault="008D7DA1" w:rsidP="008D7DA1">
      <w:pPr>
        <w:pStyle w:val="ListParagraph"/>
        <w:tabs>
          <w:tab w:val="clear" w:pos="1440"/>
          <w:tab w:val="clear" w:pos="4320"/>
          <w:tab w:val="clear" w:pos="9072"/>
          <w:tab w:val="left" w:pos="2074"/>
        </w:tabs>
        <w:snapToGrid/>
        <w:spacing w:line="80" w:lineRule="exact"/>
        <w:ind w:left="1454" w:right="835" w:hanging="187"/>
        <w:jc w:val="both"/>
        <w:rPr>
          <w:sz w:val="24"/>
          <w:szCs w:val="24"/>
        </w:rPr>
      </w:pPr>
    </w:p>
    <w:p w:rsidR="00176C73" w:rsidRPr="00662BA1" w:rsidRDefault="00176C73" w:rsidP="008D7DA1">
      <w:pPr>
        <w:pStyle w:val="ListParagraph"/>
        <w:tabs>
          <w:tab w:val="clear" w:pos="1440"/>
          <w:tab w:val="clear" w:pos="4320"/>
          <w:tab w:val="clear" w:pos="9072"/>
          <w:tab w:val="left" w:pos="2074"/>
        </w:tabs>
        <w:snapToGrid/>
        <w:spacing w:line="80" w:lineRule="exact"/>
        <w:ind w:left="1454" w:right="835" w:hanging="187"/>
        <w:jc w:val="both"/>
        <w:rPr>
          <w:sz w:val="24"/>
          <w:szCs w:val="24"/>
        </w:rPr>
      </w:pPr>
    </w:p>
    <w:p w:rsidR="00AC2E71" w:rsidRDefault="00052537" w:rsidP="00AC2E71">
      <w:pPr>
        <w:pStyle w:val="ListParagraph"/>
        <w:tabs>
          <w:tab w:val="clear" w:pos="4320"/>
          <w:tab w:val="clear" w:pos="9072"/>
        </w:tabs>
        <w:snapToGrid/>
        <w:spacing w:before="360" w:line="360" w:lineRule="auto"/>
        <w:ind w:left="0"/>
        <w:jc w:val="both"/>
      </w:pPr>
      <w:r w:rsidRPr="00662BA1">
        <w:fldChar w:fldCharType="begin"/>
      </w:r>
      <w:r w:rsidR="008D7DA1" w:rsidRPr="00662BA1">
        <w:instrText xml:space="preserve"> AUTONUMOUT  </w:instrText>
      </w:r>
      <w:r w:rsidRPr="00662BA1">
        <w:fldChar w:fldCharType="end"/>
      </w:r>
      <w:r w:rsidR="008D7DA1" w:rsidRPr="00662BA1">
        <w:tab/>
      </w:r>
      <w:r w:rsidR="00176C73" w:rsidRPr="00662BA1">
        <w:t>In the result, the judge found:</w:t>
      </w:r>
      <w:r w:rsidR="00176C73" w:rsidRPr="00662BA1">
        <w:rPr>
          <w:rStyle w:val="FootnoteReference"/>
        </w:rPr>
        <w:footnoteReference w:id="163"/>
      </w:r>
    </w:p>
    <w:p w:rsidR="008D7DA1" w:rsidRPr="00662BA1" w:rsidRDefault="00AC2E71" w:rsidP="00AC2E71">
      <w:pPr>
        <w:pStyle w:val="ListParagraph"/>
        <w:tabs>
          <w:tab w:val="clear" w:pos="4320"/>
          <w:tab w:val="clear" w:pos="9072"/>
          <w:tab w:val="left" w:pos="2074"/>
        </w:tabs>
        <w:snapToGrid/>
        <w:spacing w:before="240"/>
        <w:ind w:left="1454" w:right="835" w:hanging="187"/>
        <w:contextualSpacing w:val="0"/>
        <w:jc w:val="both"/>
        <w:rPr>
          <w:sz w:val="24"/>
          <w:szCs w:val="24"/>
        </w:rPr>
      </w:pPr>
      <w:r>
        <w:rPr>
          <w:sz w:val="24"/>
          <w:szCs w:val="24"/>
        </w:rPr>
        <w:t>“</w:t>
      </w:r>
      <w:r>
        <w:rPr>
          <w:sz w:val="24"/>
          <w:szCs w:val="24"/>
        </w:rPr>
        <w:tab/>
      </w:r>
      <w:r w:rsidR="008D7DA1" w:rsidRPr="00662BA1">
        <w:rPr>
          <w:sz w:val="24"/>
          <w:szCs w:val="24"/>
        </w:rPr>
        <w:tab/>
      </w:r>
      <w:r w:rsidR="00176C73" w:rsidRPr="00662BA1">
        <w:rPr>
          <w:sz w:val="24"/>
          <w:szCs w:val="24"/>
        </w:rPr>
        <w:t xml:space="preserve">….the defendant is lying when he said that the only reason he used cash to deal with the securities companies was to urgently settle the margin calls. </w:t>
      </w:r>
      <w:r w:rsidR="008D7DA1" w:rsidRPr="00662BA1">
        <w:rPr>
          <w:rFonts w:hint="eastAsia"/>
          <w:sz w:val="24"/>
          <w:szCs w:val="24"/>
        </w:rPr>
        <w:t xml:space="preserve"> </w:t>
      </w:r>
      <w:r w:rsidR="00176C73" w:rsidRPr="00662BA1">
        <w:rPr>
          <w:sz w:val="24"/>
          <w:szCs w:val="24"/>
        </w:rPr>
        <w:t>The defendant knew cash transactions are more difficult to be traced and I find that it must be one of the reasons that he had chosen to deal with the securities companie</w:t>
      </w:r>
      <w:r w:rsidR="008D7DA1" w:rsidRPr="00662BA1">
        <w:rPr>
          <w:sz w:val="24"/>
          <w:szCs w:val="24"/>
        </w:rPr>
        <w:t>s on the occasions that he did.”</w:t>
      </w:r>
    </w:p>
    <w:p w:rsidR="008D7DA1" w:rsidRPr="00662BA1" w:rsidRDefault="008D7DA1" w:rsidP="008D7DA1">
      <w:pPr>
        <w:pStyle w:val="ListParagraph"/>
        <w:tabs>
          <w:tab w:val="clear" w:pos="1440"/>
          <w:tab w:val="clear" w:pos="4320"/>
          <w:tab w:val="clear" w:pos="9072"/>
          <w:tab w:val="left" w:pos="2074"/>
        </w:tabs>
        <w:snapToGrid/>
        <w:spacing w:line="80" w:lineRule="exact"/>
        <w:ind w:left="1454" w:right="835" w:hanging="187"/>
        <w:jc w:val="both"/>
        <w:rPr>
          <w:sz w:val="24"/>
          <w:szCs w:val="24"/>
        </w:rPr>
      </w:pPr>
    </w:p>
    <w:p w:rsidR="00176C73" w:rsidRPr="00662BA1" w:rsidRDefault="00176C73" w:rsidP="008D7DA1">
      <w:pPr>
        <w:pStyle w:val="ListParagraph"/>
        <w:tabs>
          <w:tab w:val="clear" w:pos="1440"/>
          <w:tab w:val="clear" w:pos="4320"/>
          <w:tab w:val="clear" w:pos="9072"/>
          <w:tab w:val="left" w:pos="2074"/>
        </w:tabs>
        <w:snapToGrid/>
        <w:spacing w:line="80" w:lineRule="exact"/>
        <w:ind w:left="1454" w:right="835" w:hanging="187"/>
        <w:jc w:val="both"/>
        <w:rPr>
          <w:sz w:val="24"/>
          <w:szCs w:val="24"/>
        </w:rPr>
      </w:pPr>
    </w:p>
    <w:p w:rsidR="00176C73" w:rsidRPr="00662BA1" w:rsidRDefault="00052537" w:rsidP="008D7DA1">
      <w:pPr>
        <w:tabs>
          <w:tab w:val="clear" w:pos="4320"/>
        </w:tabs>
        <w:snapToGrid/>
        <w:spacing w:before="360" w:line="360" w:lineRule="auto"/>
        <w:jc w:val="both"/>
        <w:rPr>
          <w:szCs w:val="28"/>
        </w:rPr>
      </w:pPr>
      <w:r w:rsidRPr="00662BA1">
        <w:rPr>
          <w:szCs w:val="28"/>
        </w:rPr>
        <w:fldChar w:fldCharType="begin"/>
      </w:r>
      <w:r w:rsidR="008D7DA1" w:rsidRPr="00662BA1">
        <w:rPr>
          <w:szCs w:val="28"/>
        </w:rPr>
        <w:instrText xml:space="preserve"> AUTONUMOUT  </w:instrText>
      </w:r>
      <w:r w:rsidRPr="00662BA1">
        <w:rPr>
          <w:szCs w:val="28"/>
        </w:rPr>
        <w:fldChar w:fldCharType="end"/>
      </w:r>
      <w:r w:rsidR="008D7DA1" w:rsidRPr="00662BA1">
        <w:rPr>
          <w:szCs w:val="28"/>
        </w:rPr>
        <w:tab/>
      </w:r>
      <w:r w:rsidR="00176C73" w:rsidRPr="00662BA1">
        <w:rPr>
          <w:szCs w:val="28"/>
        </w:rPr>
        <w:t>In his verdicts in respect of each of the five charges, the judge stipulated the total amount of cash deposits and withdrawals from each of the five bank accounts, namely:</w:t>
      </w:r>
    </w:p>
    <w:p w:rsidR="00176C73" w:rsidRPr="00662BA1" w:rsidRDefault="00176C73" w:rsidP="00E57DEB">
      <w:pPr>
        <w:tabs>
          <w:tab w:val="clear" w:pos="1440"/>
          <w:tab w:val="clear" w:pos="4320"/>
          <w:tab w:val="clear" w:pos="9072"/>
        </w:tabs>
        <w:snapToGrid/>
        <w:spacing w:before="120" w:after="120" w:line="360" w:lineRule="auto"/>
        <w:jc w:val="both"/>
        <w:rPr>
          <w:szCs w:val="28"/>
        </w:rPr>
      </w:pPr>
      <w:r w:rsidRPr="00662BA1">
        <w:rPr>
          <w:szCs w:val="28"/>
        </w:rPr>
        <w:t>Charge 1</w:t>
      </w:r>
      <w:r w:rsidR="008D7DA1" w:rsidRPr="00662BA1">
        <w:rPr>
          <w:rFonts w:hint="eastAsia"/>
          <w:szCs w:val="28"/>
        </w:rPr>
        <w:t xml:space="preserve"> </w:t>
      </w:r>
      <w:r w:rsidR="008D7DA1" w:rsidRPr="00662BA1">
        <w:rPr>
          <w:szCs w:val="28"/>
        </w:rPr>
        <w:t>–</w:t>
      </w:r>
      <w:r w:rsidR="008D7DA1" w:rsidRPr="00662BA1">
        <w:rPr>
          <w:rFonts w:hint="eastAsia"/>
          <w:szCs w:val="28"/>
        </w:rPr>
        <w:t xml:space="preserve"> </w:t>
      </w:r>
      <w:r w:rsidRPr="00662BA1">
        <w:rPr>
          <w:szCs w:val="28"/>
        </w:rPr>
        <w:t>$27,903,851 deposits and $55,696,871 withdrawals;</w:t>
      </w:r>
    </w:p>
    <w:p w:rsidR="00176C73" w:rsidRPr="00662BA1" w:rsidRDefault="00176C73" w:rsidP="00E57DEB">
      <w:pPr>
        <w:tabs>
          <w:tab w:val="clear" w:pos="1440"/>
          <w:tab w:val="clear" w:pos="4320"/>
        </w:tabs>
        <w:snapToGrid/>
        <w:spacing w:before="120" w:after="120" w:line="360" w:lineRule="auto"/>
        <w:jc w:val="both"/>
        <w:rPr>
          <w:szCs w:val="28"/>
        </w:rPr>
      </w:pPr>
      <w:r w:rsidRPr="00662BA1">
        <w:rPr>
          <w:szCs w:val="28"/>
        </w:rPr>
        <w:t>Charge 2</w:t>
      </w:r>
      <w:r w:rsidR="008D7DA1" w:rsidRPr="00662BA1">
        <w:rPr>
          <w:rFonts w:hint="eastAsia"/>
          <w:szCs w:val="28"/>
        </w:rPr>
        <w:t xml:space="preserve"> </w:t>
      </w:r>
      <w:r w:rsidR="008D7DA1" w:rsidRPr="00662BA1">
        <w:rPr>
          <w:szCs w:val="28"/>
        </w:rPr>
        <w:t>–</w:t>
      </w:r>
      <w:r w:rsidR="008D7DA1" w:rsidRPr="00662BA1">
        <w:rPr>
          <w:rFonts w:hint="eastAsia"/>
          <w:szCs w:val="28"/>
        </w:rPr>
        <w:t xml:space="preserve"> </w:t>
      </w:r>
      <w:r w:rsidRPr="00662BA1">
        <w:rPr>
          <w:szCs w:val="28"/>
        </w:rPr>
        <w:t>$4,724,016 deposits and $2,276,600 withdrawals;</w:t>
      </w:r>
    </w:p>
    <w:p w:rsidR="00176C73" w:rsidRPr="00662BA1" w:rsidRDefault="00176C73" w:rsidP="00E57DEB">
      <w:pPr>
        <w:tabs>
          <w:tab w:val="clear" w:pos="1440"/>
          <w:tab w:val="clear" w:pos="4320"/>
        </w:tabs>
        <w:snapToGrid/>
        <w:spacing w:before="120" w:after="120" w:line="360" w:lineRule="auto"/>
        <w:jc w:val="both"/>
        <w:rPr>
          <w:szCs w:val="28"/>
        </w:rPr>
      </w:pPr>
      <w:r w:rsidRPr="00662BA1">
        <w:rPr>
          <w:szCs w:val="28"/>
        </w:rPr>
        <w:t>Charge 3</w:t>
      </w:r>
      <w:r w:rsidR="008D7DA1" w:rsidRPr="00662BA1">
        <w:rPr>
          <w:rFonts w:hint="eastAsia"/>
          <w:szCs w:val="28"/>
        </w:rPr>
        <w:t xml:space="preserve"> </w:t>
      </w:r>
      <w:r w:rsidR="008D7DA1" w:rsidRPr="00662BA1">
        <w:rPr>
          <w:szCs w:val="28"/>
        </w:rPr>
        <w:t>–</w:t>
      </w:r>
      <w:r w:rsidR="008D7DA1" w:rsidRPr="00662BA1">
        <w:rPr>
          <w:rFonts w:hint="eastAsia"/>
          <w:szCs w:val="28"/>
        </w:rPr>
        <w:t xml:space="preserve"> </w:t>
      </w:r>
      <w:r w:rsidRPr="00662BA1">
        <w:rPr>
          <w:szCs w:val="28"/>
        </w:rPr>
        <w:t>$13,305,000 deposits and $25,949,162 withdrawals;</w:t>
      </w:r>
    </w:p>
    <w:p w:rsidR="00176C73" w:rsidRPr="00662BA1" w:rsidRDefault="00176C73" w:rsidP="00E57DEB">
      <w:pPr>
        <w:tabs>
          <w:tab w:val="clear" w:pos="1440"/>
          <w:tab w:val="clear" w:pos="4320"/>
        </w:tabs>
        <w:snapToGrid/>
        <w:spacing w:before="120" w:after="120" w:line="360" w:lineRule="auto"/>
        <w:jc w:val="both"/>
        <w:rPr>
          <w:szCs w:val="28"/>
        </w:rPr>
      </w:pPr>
      <w:r w:rsidRPr="00662BA1">
        <w:rPr>
          <w:szCs w:val="28"/>
        </w:rPr>
        <w:t>Charge 4</w:t>
      </w:r>
      <w:r w:rsidR="008D7DA1" w:rsidRPr="00662BA1">
        <w:rPr>
          <w:rFonts w:hint="eastAsia"/>
          <w:szCs w:val="28"/>
        </w:rPr>
        <w:t xml:space="preserve"> </w:t>
      </w:r>
      <w:r w:rsidR="008D7DA1" w:rsidRPr="00662BA1">
        <w:rPr>
          <w:szCs w:val="28"/>
        </w:rPr>
        <w:t>–</w:t>
      </w:r>
      <w:r w:rsidR="008D7DA1" w:rsidRPr="00662BA1">
        <w:rPr>
          <w:rFonts w:hint="eastAsia"/>
          <w:szCs w:val="28"/>
        </w:rPr>
        <w:t xml:space="preserve"> </w:t>
      </w:r>
      <w:r w:rsidRPr="00662BA1">
        <w:rPr>
          <w:szCs w:val="28"/>
        </w:rPr>
        <w:t>$4,251,000 deposits and $2,408,000 withdrawals; and</w:t>
      </w:r>
    </w:p>
    <w:p w:rsidR="008D7DA1" w:rsidRPr="00662BA1" w:rsidRDefault="00176C73" w:rsidP="00E57DEB">
      <w:pPr>
        <w:tabs>
          <w:tab w:val="clear" w:pos="1440"/>
          <w:tab w:val="clear" w:pos="4320"/>
          <w:tab w:val="clear" w:pos="9072"/>
        </w:tabs>
        <w:snapToGrid/>
        <w:spacing w:before="120" w:after="120" w:line="360" w:lineRule="auto"/>
        <w:jc w:val="both"/>
        <w:rPr>
          <w:szCs w:val="28"/>
        </w:rPr>
      </w:pPr>
      <w:r w:rsidRPr="00662BA1">
        <w:rPr>
          <w:szCs w:val="28"/>
        </w:rPr>
        <w:t>Charge 5</w:t>
      </w:r>
      <w:r w:rsidR="008D7DA1" w:rsidRPr="00662BA1">
        <w:rPr>
          <w:rFonts w:hint="eastAsia"/>
          <w:szCs w:val="28"/>
        </w:rPr>
        <w:t xml:space="preserve"> </w:t>
      </w:r>
      <w:r w:rsidR="008D7DA1" w:rsidRPr="00662BA1">
        <w:rPr>
          <w:szCs w:val="28"/>
        </w:rPr>
        <w:t>–</w:t>
      </w:r>
      <w:r w:rsidR="008D7DA1" w:rsidRPr="00662BA1">
        <w:rPr>
          <w:rFonts w:hint="eastAsia"/>
          <w:szCs w:val="28"/>
        </w:rPr>
        <w:t xml:space="preserve"> </w:t>
      </w:r>
      <w:r w:rsidRPr="00662BA1">
        <w:rPr>
          <w:szCs w:val="28"/>
        </w:rPr>
        <w:t>$7,334,500 deposits and $16,830,500 withdrawals.</w:t>
      </w:r>
    </w:p>
    <w:p w:rsidR="00176C73" w:rsidRPr="00662BA1" w:rsidRDefault="00052537" w:rsidP="004A577E">
      <w:pPr>
        <w:tabs>
          <w:tab w:val="clear" w:pos="4320"/>
          <w:tab w:val="clear" w:pos="9072"/>
        </w:tabs>
        <w:snapToGrid/>
        <w:spacing w:before="360" w:line="360" w:lineRule="auto"/>
        <w:jc w:val="both"/>
        <w:rPr>
          <w:szCs w:val="28"/>
        </w:rPr>
      </w:pPr>
      <w:r w:rsidRPr="00662BA1">
        <w:rPr>
          <w:szCs w:val="28"/>
        </w:rPr>
        <w:fldChar w:fldCharType="begin"/>
      </w:r>
      <w:r w:rsidR="008D7DA1" w:rsidRPr="00662BA1">
        <w:rPr>
          <w:szCs w:val="28"/>
        </w:rPr>
        <w:instrText xml:space="preserve"> </w:instrText>
      </w:r>
      <w:r w:rsidR="008D7DA1" w:rsidRPr="00662BA1">
        <w:rPr>
          <w:rFonts w:hint="eastAsia"/>
          <w:szCs w:val="28"/>
        </w:rPr>
        <w:instrText xml:space="preserve">AUTONUMOUT </w:instrText>
      </w:r>
      <w:r w:rsidR="008D7DA1" w:rsidRPr="00662BA1">
        <w:rPr>
          <w:szCs w:val="28"/>
        </w:rPr>
        <w:instrText xml:space="preserve"> </w:instrText>
      </w:r>
      <w:r w:rsidRPr="00662BA1">
        <w:rPr>
          <w:szCs w:val="28"/>
        </w:rPr>
        <w:fldChar w:fldCharType="end"/>
      </w:r>
      <w:r w:rsidR="008D7DA1" w:rsidRPr="00662BA1">
        <w:rPr>
          <w:szCs w:val="28"/>
        </w:rPr>
        <w:tab/>
      </w:r>
      <w:r w:rsidR="00176C73" w:rsidRPr="00662BA1">
        <w:rPr>
          <w:szCs w:val="28"/>
        </w:rPr>
        <w:t>Of the issue taken by the applicant in his evidence in respec</w:t>
      </w:r>
      <w:r w:rsidR="004A577E" w:rsidRPr="00662BA1">
        <w:rPr>
          <w:szCs w:val="28"/>
        </w:rPr>
        <w:t>t of transactions described as “</w:t>
      </w:r>
      <w:r w:rsidR="00176C73" w:rsidRPr="00662BA1">
        <w:rPr>
          <w:szCs w:val="28"/>
        </w:rPr>
        <w:t>cash deposits</w:t>
      </w:r>
      <w:r w:rsidR="004A577E" w:rsidRPr="00662BA1">
        <w:rPr>
          <w:szCs w:val="28"/>
        </w:rPr>
        <w:t>”</w:t>
      </w:r>
      <w:r w:rsidR="00176C73" w:rsidRPr="00662BA1">
        <w:rPr>
          <w:szCs w:val="28"/>
        </w:rPr>
        <w:t>, but which involved amounts of money that condescend</w:t>
      </w:r>
      <w:r w:rsidR="00CD33F8">
        <w:rPr>
          <w:szCs w:val="28"/>
        </w:rPr>
        <w:t xml:space="preserve">ed </w:t>
      </w:r>
      <w:proofErr w:type="spellStart"/>
      <w:r w:rsidR="00176C73" w:rsidRPr="00662BA1">
        <w:rPr>
          <w:szCs w:val="28"/>
        </w:rPr>
        <w:t>to</w:t>
      </w:r>
      <w:proofErr w:type="spellEnd"/>
      <w:r w:rsidR="00176C73" w:rsidRPr="00662BA1">
        <w:rPr>
          <w:szCs w:val="28"/>
        </w:rPr>
        <w:t xml:space="preserve"> </w:t>
      </w:r>
      <w:proofErr w:type="spellStart"/>
      <w:r w:rsidR="00176C73" w:rsidRPr="00662BA1">
        <w:rPr>
          <w:szCs w:val="28"/>
        </w:rPr>
        <w:t>cents</w:t>
      </w:r>
      <w:proofErr w:type="spellEnd"/>
      <w:r w:rsidR="00176C73" w:rsidRPr="00662BA1">
        <w:rPr>
          <w:szCs w:val="28"/>
        </w:rPr>
        <w:t xml:space="preserve"> the judge noted earlier the evidence of a bank officer of Wing Lung Bank to the effect that:</w:t>
      </w:r>
      <w:r w:rsidR="00176C73" w:rsidRPr="00662BA1">
        <w:rPr>
          <w:rStyle w:val="FootnoteReference"/>
          <w:szCs w:val="28"/>
        </w:rPr>
        <w:footnoteReference w:id="164"/>
      </w:r>
    </w:p>
    <w:p w:rsidR="004A577E" w:rsidRPr="00662BA1" w:rsidRDefault="004A577E" w:rsidP="004A577E">
      <w:pPr>
        <w:pStyle w:val="ListParagraph"/>
        <w:tabs>
          <w:tab w:val="clear" w:pos="1440"/>
          <w:tab w:val="clear" w:pos="4320"/>
          <w:tab w:val="clear" w:pos="9072"/>
          <w:tab w:val="left" w:pos="2074"/>
        </w:tabs>
        <w:snapToGrid/>
        <w:spacing w:before="240"/>
        <w:ind w:left="1454" w:right="835" w:hanging="187"/>
        <w:jc w:val="both"/>
        <w:rPr>
          <w:sz w:val="24"/>
          <w:szCs w:val="24"/>
        </w:rPr>
      </w:pPr>
      <w:r w:rsidRPr="00662BA1">
        <w:rPr>
          <w:sz w:val="24"/>
          <w:szCs w:val="24"/>
        </w:rPr>
        <w:t>“</w:t>
      </w:r>
      <w:r w:rsidRPr="00662BA1">
        <w:rPr>
          <w:sz w:val="24"/>
          <w:szCs w:val="24"/>
        </w:rPr>
        <w:tab/>
      </w:r>
      <w:r w:rsidR="00176C73" w:rsidRPr="00662BA1">
        <w:rPr>
          <w:sz w:val="24"/>
          <w:szCs w:val="24"/>
        </w:rPr>
        <w:t xml:space="preserve">The customer may honour a cash/uncrossed check over the counter at the same bank as the check issuing bank and request the teller to cash the check and instantly deposit the cash into the designated bank account. </w:t>
      </w:r>
      <w:r w:rsidRPr="00662BA1">
        <w:rPr>
          <w:rFonts w:hint="eastAsia"/>
          <w:sz w:val="24"/>
          <w:szCs w:val="24"/>
        </w:rPr>
        <w:t xml:space="preserve"> </w:t>
      </w:r>
      <w:r w:rsidR="00176C73" w:rsidRPr="00662BA1">
        <w:rPr>
          <w:sz w:val="24"/>
          <w:szCs w:val="24"/>
        </w:rPr>
        <w:t>Because the check is honoured as cash, the deposit was made by cash.</w:t>
      </w:r>
      <w:r w:rsidRPr="00662BA1">
        <w:rPr>
          <w:rFonts w:hint="eastAsia"/>
          <w:sz w:val="24"/>
          <w:szCs w:val="24"/>
        </w:rPr>
        <w:t xml:space="preserve"> </w:t>
      </w:r>
      <w:r w:rsidR="00176C73" w:rsidRPr="00662BA1">
        <w:rPr>
          <w:sz w:val="24"/>
          <w:szCs w:val="24"/>
        </w:rPr>
        <w:t xml:space="preserve"> The bank would record the deposit transactions as DP CASH/DPCS on the bank statement</w:t>
      </w:r>
      <w:r w:rsidRPr="00662BA1">
        <w:rPr>
          <w:sz w:val="24"/>
          <w:szCs w:val="24"/>
        </w:rPr>
        <w:t>.”</w:t>
      </w:r>
    </w:p>
    <w:p w:rsidR="004A577E" w:rsidRPr="00662BA1" w:rsidRDefault="004A577E" w:rsidP="004A577E">
      <w:pPr>
        <w:pStyle w:val="ListParagraph"/>
        <w:tabs>
          <w:tab w:val="clear" w:pos="1440"/>
          <w:tab w:val="clear" w:pos="4320"/>
          <w:tab w:val="clear" w:pos="9072"/>
          <w:tab w:val="left" w:pos="2074"/>
        </w:tabs>
        <w:snapToGrid/>
        <w:spacing w:line="80" w:lineRule="exact"/>
        <w:ind w:left="1454" w:right="835" w:hanging="187"/>
        <w:jc w:val="both"/>
        <w:rPr>
          <w:sz w:val="24"/>
          <w:szCs w:val="24"/>
        </w:rPr>
      </w:pPr>
    </w:p>
    <w:p w:rsidR="00176C73" w:rsidRPr="00662BA1" w:rsidRDefault="00176C73" w:rsidP="004A577E">
      <w:pPr>
        <w:pStyle w:val="ListParagraph"/>
        <w:tabs>
          <w:tab w:val="clear" w:pos="1440"/>
          <w:tab w:val="clear" w:pos="4320"/>
          <w:tab w:val="clear" w:pos="9072"/>
          <w:tab w:val="left" w:pos="2074"/>
        </w:tabs>
        <w:snapToGrid/>
        <w:spacing w:line="80" w:lineRule="exact"/>
        <w:ind w:left="1454" w:right="835" w:hanging="187"/>
        <w:jc w:val="both"/>
        <w:rPr>
          <w:sz w:val="24"/>
          <w:szCs w:val="24"/>
        </w:rPr>
      </w:pPr>
    </w:p>
    <w:p w:rsidR="00176C73" w:rsidRPr="00662BA1" w:rsidRDefault="00052537" w:rsidP="004A577E">
      <w:pPr>
        <w:tabs>
          <w:tab w:val="clear" w:pos="4320"/>
        </w:tabs>
        <w:snapToGrid/>
        <w:spacing w:before="360" w:line="360" w:lineRule="auto"/>
        <w:jc w:val="both"/>
        <w:rPr>
          <w:szCs w:val="28"/>
        </w:rPr>
      </w:pPr>
      <w:r w:rsidRPr="00662BA1">
        <w:rPr>
          <w:szCs w:val="28"/>
        </w:rPr>
        <w:fldChar w:fldCharType="begin"/>
      </w:r>
      <w:r w:rsidR="004A577E" w:rsidRPr="00662BA1">
        <w:rPr>
          <w:szCs w:val="28"/>
        </w:rPr>
        <w:instrText xml:space="preserve"> AUTONUMOUT  </w:instrText>
      </w:r>
      <w:r w:rsidRPr="00662BA1">
        <w:rPr>
          <w:szCs w:val="28"/>
        </w:rPr>
        <w:fldChar w:fldCharType="end"/>
      </w:r>
      <w:r w:rsidR="004A577E" w:rsidRPr="00662BA1">
        <w:rPr>
          <w:szCs w:val="28"/>
        </w:rPr>
        <w:tab/>
      </w:r>
      <w:r w:rsidR="00176C73" w:rsidRPr="00662BA1">
        <w:rPr>
          <w:szCs w:val="28"/>
        </w:rPr>
        <w:t>The judge found that the applicant knew that dealings in cash were more difficult to trace and that the def</w:t>
      </w:r>
      <w:r w:rsidR="00B321E5" w:rsidRPr="00662BA1">
        <w:rPr>
          <w:szCs w:val="28"/>
        </w:rPr>
        <w:t>endant was not involved in any “cash generating business”</w:t>
      </w:r>
      <w:r w:rsidR="00176C73" w:rsidRPr="00662BA1">
        <w:rPr>
          <w:szCs w:val="28"/>
        </w:rPr>
        <w:t xml:space="preserve">. </w:t>
      </w:r>
      <w:r w:rsidR="00B321E5" w:rsidRPr="00662BA1">
        <w:rPr>
          <w:rFonts w:hint="eastAsia"/>
          <w:szCs w:val="28"/>
        </w:rPr>
        <w:t xml:space="preserve"> </w:t>
      </w:r>
      <w:r w:rsidR="00B321E5" w:rsidRPr="00662BA1">
        <w:rPr>
          <w:szCs w:val="28"/>
        </w:rPr>
        <w:t>In respect of Charge</w:t>
      </w:r>
      <w:r w:rsidR="00B321E5" w:rsidRPr="00662BA1">
        <w:rPr>
          <w:szCs w:val="28"/>
          <w:lang w:val="en-US"/>
        </w:rPr>
        <w:t> </w:t>
      </w:r>
      <w:r w:rsidR="00176C73" w:rsidRPr="00662BA1">
        <w:rPr>
          <w:szCs w:val="28"/>
        </w:rPr>
        <w:t>1, the judge said:</w:t>
      </w:r>
      <w:r w:rsidR="00176C73" w:rsidRPr="00662BA1">
        <w:rPr>
          <w:rStyle w:val="FootnoteReference"/>
          <w:szCs w:val="28"/>
        </w:rPr>
        <w:footnoteReference w:id="165"/>
      </w:r>
    </w:p>
    <w:p w:rsidR="00B321E5" w:rsidRPr="00662BA1" w:rsidRDefault="00B321E5" w:rsidP="00B321E5">
      <w:pPr>
        <w:tabs>
          <w:tab w:val="clear" w:pos="1440"/>
          <w:tab w:val="clear" w:pos="4320"/>
          <w:tab w:val="clear" w:pos="9072"/>
          <w:tab w:val="left" w:pos="2074"/>
        </w:tabs>
        <w:snapToGrid/>
        <w:spacing w:before="240"/>
        <w:ind w:left="1454" w:right="835" w:hanging="187"/>
        <w:jc w:val="both"/>
        <w:rPr>
          <w:sz w:val="24"/>
          <w:szCs w:val="24"/>
        </w:rPr>
      </w:pPr>
      <w:r w:rsidRPr="00662BA1">
        <w:rPr>
          <w:sz w:val="24"/>
          <w:szCs w:val="24"/>
        </w:rPr>
        <w:t>“</w:t>
      </w:r>
      <w:r w:rsidRPr="00662BA1">
        <w:rPr>
          <w:sz w:val="24"/>
          <w:szCs w:val="24"/>
        </w:rPr>
        <w:tab/>
      </w:r>
      <w:r w:rsidR="00176C73" w:rsidRPr="00662BA1">
        <w:rPr>
          <w:sz w:val="24"/>
          <w:szCs w:val="24"/>
        </w:rPr>
        <w:t>I find that the defendant himself knew that dealings in cash transactions would be more difficult to trace than those by way of checks.</w:t>
      </w:r>
      <w:r w:rsidRPr="00662BA1">
        <w:rPr>
          <w:rFonts w:hint="eastAsia"/>
          <w:sz w:val="24"/>
          <w:szCs w:val="24"/>
        </w:rPr>
        <w:t xml:space="preserve">  </w:t>
      </w:r>
      <w:r w:rsidR="00176C73" w:rsidRPr="00662BA1">
        <w:rPr>
          <w:sz w:val="24"/>
          <w:szCs w:val="24"/>
        </w:rPr>
        <w:t>I find that there were no cash generating business that would generate the kind of cash that was deposited into account A.</w:t>
      </w:r>
      <w:r w:rsidRPr="00662BA1">
        <w:rPr>
          <w:sz w:val="24"/>
          <w:szCs w:val="24"/>
        </w:rPr>
        <w:t>”</w:t>
      </w:r>
    </w:p>
    <w:p w:rsidR="00B321E5" w:rsidRPr="00662BA1" w:rsidRDefault="00B321E5" w:rsidP="00B321E5">
      <w:pPr>
        <w:tabs>
          <w:tab w:val="clear" w:pos="1440"/>
          <w:tab w:val="clear" w:pos="4320"/>
          <w:tab w:val="clear" w:pos="9072"/>
          <w:tab w:val="left" w:pos="2074"/>
        </w:tabs>
        <w:snapToGrid/>
        <w:spacing w:line="80" w:lineRule="exact"/>
        <w:ind w:left="1454" w:right="835" w:hanging="187"/>
        <w:jc w:val="both"/>
        <w:rPr>
          <w:sz w:val="24"/>
          <w:szCs w:val="24"/>
        </w:rPr>
      </w:pPr>
    </w:p>
    <w:p w:rsidR="00176C73" w:rsidRPr="00662BA1" w:rsidRDefault="00176C73" w:rsidP="00B321E5">
      <w:pPr>
        <w:tabs>
          <w:tab w:val="clear" w:pos="1440"/>
          <w:tab w:val="clear" w:pos="4320"/>
          <w:tab w:val="clear" w:pos="9072"/>
          <w:tab w:val="left" w:pos="2074"/>
        </w:tabs>
        <w:snapToGrid/>
        <w:spacing w:line="80" w:lineRule="exact"/>
        <w:ind w:left="1454" w:right="835" w:hanging="187"/>
        <w:jc w:val="both"/>
        <w:rPr>
          <w:sz w:val="24"/>
          <w:szCs w:val="24"/>
        </w:rPr>
      </w:pPr>
    </w:p>
    <w:p w:rsidR="00176C73" w:rsidRPr="00662BA1" w:rsidRDefault="00052537" w:rsidP="00B321E5">
      <w:pPr>
        <w:tabs>
          <w:tab w:val="clear" w:pos="4320"/>
        </w:tabs>
        <w:snapToGrid/>
        <w:spacing w:before="360" w:line="360" w:lineRule="auto"/>
        <w:jc w:val="both"/>
        <w:rPr>
          <w:szCs w:val="28"/>
        </w:rPr>
      </w:pPr>
      <w:r w:rsidRPr="00662BA1">
        <w:rPr>
          <w:szCs w:val="28"/>
        </w:rPr>
        <w:fldChar w:fldCharType="begin"/>
      </w:r>
      <w:r w:rsidR="00B321E5" w:rsidRPr="00662BA1">
        <w:rPr>
          <w:szCs w:val="28"/>
        </w:rPr>
        <w:instrText xml:space="preserve"> AUTONUMOUT  </w:instrText>
      </w:r>
      <w:r w:rsidRPr="00662BA1">
        <w:rPr>
          <w:szCs w:val="28"/>
        </w:rPr>
        <w:fldChar w:fldCharType="end"/>
      </w:r>
      <w:r w:rsidR="00B321E5" w:rsidRPr="00662BA1">
        <w:rPr>
          <w:szCs w:val="28"/>
        </w:rPr>
        <w:tab/>
      </w:r>
      <w:r w:rsidR="00176C73" w:rsidRPr="00662BA1">
        <w:rPr>
          <w:szCs w:val="28"/>
        </w:rPr>
        <w:t>In respect of Charge 3, the judge said:</w:t>
      </w:r>
      <w:r w:rsidR="00176C73" w:rsidRPr="00662BA1">
        <w:rPr>
          <w:rStyle w:val="FootnoteReference"/>
          <w:szCs w:val="28"/>
        </w:rPr>
        <w:footnoteReference w:id="166"/>
      </w:r>
    </w:p>
    <w:p w:rsidR="00B321E5" w:rsidRPr="00662BA1" w:rsidRDefault="00B321E5" w:rsidP="00B321E5">
      <w:pPr>
        <w:tabs>
          <w:tab w:val="clear" w:pos="1440"/>
          <w:tab w:val="clear" w:pos="4320"/>
          <w:tab w:val="clear" w:pos="9072"/>
          <w:tab w:val="left" w:pos="2074"/>
        </w:tabs>
        <w:snapToGrid/>
        <w:spacing w:before="240"/>
        <w:ind w:left="1454" w:right="835" w:hanging="187"/>
        <w:jc w:val="both"/>
        <w:rPr>
          <w:sz w:val="24"/>
          <w:szCs w:val="24"/>
        </w:rPr>
      </w:pPr>
      <w:r w:rsidRPr="00662BA1">
        <w:rPr>
          <w:sz w:val="24"/>
          <w:szCs w:val="24"/>
        </w:rPr>
        <w:t>“</w:t>
      </w:r>
      <w:r w:rsidRPr="00662BA1">
        <w:rPr>
          <w:sz w:val="24"/>
          <w:szCs w:val="24"/>
        </w:rPr>
        <w:tab/>
      </w:r>
      <w:r w:rsidR="00176C73" w:rsidRPr="00662BA1">
        <w:rPr>
          <w:sz w:val="24"/>
          <w:szCs w:val="24"/>
        </w:rPr>
        <w:t>I find that the transactions in relation to account C were all known to the defendant.</w:t>
      </w:r>
      <w:r w:rsidRPr="00662BA1">
        <w:rPr>
          <w:rFonts w:hint="eastAsia"/>
          <w:sz w:val="24"/>
          <w:szCs w:val="24"/>
        </w:rPr>
        <w:t xml:space="preserve"> </w:t>
      </w:r>
      <w:r w:rsidR="00176C73" w:rsidRPr="00662BA1">
        <w:rPr>
          <w:sz w:val="24"/>
          <w:szCs w:val="24"/>
        </w:rPr>
        <w:t xml:space="preserve"> I find that there were no reasons why there should be so many cash transactions in relation to account C given there being no corresponding cash generating business tha</w:t>
      </w:r>
      <w:r w:rsidRPr="00662BA1">
        <w:rPr>
          <w:sz w:val="24"/>
          <w:szCs w:val="24"/>
        </w:rPr>
        <w:t>t the defendant was engaged in.”</w:t>
      </w:r>
    </w:p>
    <w:p w:rsidR="00B321E5" w:rsidRPr="00662BA1" w:rsidRDefault="00B321E5" w:rsidP="00B321E5">
      <w:pPr>
        <w:tabs>
          <w:tab w:val="clear" w:pos="1440"/>
          <w:tab w:val="clear" w:pos="4320"/>
          <w:tab w:val="clear" w:pos="9072"/>
          <w:tab w:val="left" w:pos="2074"/>
        </w:tabs>
        <w:snapToGrid/>
        <w:spacing w:line="80" w:lineRule="exact"/>
        <w:ind w:left="1454" w:right="835" w:hanging="187"/>
        <w:jc w:val="both"/>
        <w:rPr>
          <w:sz w:val="24"/>
          <w:szCs w:val="24"/>
        </w:rPr>
      </w:pPr>
    </w:p>
    <w:p w:rsidR="00176C73" w:rsidRPr="00662BA1" w:rsidRDefault="00176C73" w:rsidP="00B321E5">
      <w:pPr>
        <w:tabs>
          <w:tab w:val="clear" w:pos="1440"/>
          <w:tab w:val="clear" w:pos="4320"/>
          <w:tab w:val="clear" w:pos="9072"/>
          <w:tab w:val="left" w:pos="2074"/>
        </w:tabs>
        <w:snapToGrid/>
        <w:spacing w:line="80" w:lineRule="exact"/>
        <w:ind w:left="1454" w:right="835" w:hanging="187"/>
        <w:jc w:val="both"/>
        <w:rPr>
          <w:sz w:val="24"/>
          <w:szCs w:val="24"/>
        </w:rPr>
      </w:pPr>
    </w:p>
    <w:p w:rsidR="00B321E5" w:rsidRPr="00662BA1" w:rsidRDefault="00052537" w:rsidP="00B321E5">
      <w:pPr>
        <w:tabs>
          <w:tab w:val="clear" w:pos="4320"/>
          <w:tab w:val="clear" w:pos="9072"/>
          <w:tab w:val="left" w:pos="2074"/>
        </w:tabs>
        <w:snapToGrid/>
        <w:spacing w:before="360" w:line="360" w:lineRule="auto"/>
        <w:jc w:val="both"/>
        <w:rPr>
          <w:szCs w:val="24"/>
        </w:rPr>
      </w:pPr>
      <w:r w:rsidRPr="00662BA1">
        <w:rPr>
          <w:szCs w:val="24"/>
        </w:rPr>
        <w:fldChar w:fldCharType="begin"/>
      </w:r>
      <w:r w:rsidR="00B321E5" w:rsidRPr="00662BA1">
        <w:rPr>
          <w:szCs w:val="24"/>
        </w:rPr>
        <w:instrText xml:space="preserve"> </w:instrText>
      </w:r>
      <w:r w:rsidR="00B321E5" w:rsidRPr="00662BA1">
        <w:rPr>
          <w:rFonts w:hint="eastAsia"/>
          <w:szCs w:val="24"/>
        </w:rPr>
        <w:instrText xml:space="preserve">AUTONUMOUT </w:instrText>
      </w:r>
      <w:r w:rsidR="00B321E5" w:rsidRPr="00662BA1">
        <w:rPr>
          <w:szCs w:val="24"/>
        </w:rPr>
        <w:instrText xml:space="preserve"> </w:instrText>
      </w:r>
      <w:r w:rsidRPr="00662BA1">
        <w:rPr>
          <w:szCs w:val="24"/>
        </w:rPr>
        <w:fldChar w:fldCharType="end"/>
      </w:r>
      <w:r w:rsidR="00B321E5" w:rsidRPr="00662BA1">
        <w:rPr>
          <w:szCs w:val="24"/>
        </w:rPr>
        <w:tab/>
      </w:r>
      <w:r w:rsidR="00176C73" w:rsidRPr="00662BA1">
        <w:rPr>
          <w:szCs w:val="28"/>
        </w:rPr>
        <w:t>Finally, in addressing Charge 5, the judge said that</w:t>
      </w:r>
      <w:r w:rsidR="00B321E5" w:rsidRPr="00662BA1">
        <w:rPr>
          <w:szCs w:val="28"/>
        </w:rPr>
        <w:t xml:space="preserve"> he agreed with Mr Sutton that “</w:t>
      </w:r>
      <w:r w:rsidR="00176C73" w:rsidRPr="00662BA1">
        <w:rPr>
          <w:szCs w:val="28"/>
        </w:rPr>
        <w:t>cash transactions of large amount of money are suspicious on their own</w:t>
      </w:r>
      <w:r w:rsidR="00B321E5" w:rsidRPr="00662BA1">
        <w:rPr>
          <w:szCs w:val="28"/>
        </w:rPr>
        <w:t>”</w:t>
      </w:r>
      <w:r w:rsidR="00176C73" w:rsidRPr="00662BA1">
        <w:rPr>
          <w:szCs w:val="28"/>
        </w:rPr>
        <w:t xml:space="preserve"> and obs</w:t>
      </w:r>
      <w:r w:rsidR="00B321E5" w:rsidRPr="00662BA1">
        <w:rPr>
          <w:szCs w:val="28"/>
        </w:rPr>
        <w:t>erved that it was obvious that “</w:t>
      </w:r>
      <w:r w:rsidR="00176C73" w:rsidRPr="00662BA1">
        <w:rPr>
          <w:szCs w:val="28"/>
        </w:rPr>
        <w:t>cash deposits and withdrawals are harder to trace than check deposits and withdrawals.</w:t>
      </w:r>
      <w:r w:rsidR="00B321E5" w:rsidRPr="00662BA1">
        <w:rPr>
          <w:szCs w:val="28"/>
        </w:rPr>
        <w:t>”</w:t>
      </w:r>
      <w:r w:rsidR="00B321E5" w:rsidRPr="00662BA1">
        <w:rPr>
          <w:szCs w:val="28"/>
          <w:lang w:val="en-US"/>
        </w:rPr>
        <w:t> </w:t>
      </w:r>
      <w:r w:rsidR="00176C73" w:rsidRPr="00662BA1">
        <w:rPr>
          <w:rStyle w:val="FootnoteReference"/>
          <w:szCs w:val="28"/>
        </w:rPr>
        <w:footnoteReference w:id="167"/>
      </w:r>
    </w:p>
    <w:p w:rsidR="00001353" w:rsidRPr="00662BA1" w:rsidRDefault="00052537" w:rsidP="00001353">
      <w:pPr>
        <w:tabs>
          <w:tab w:val="clear" w:pos="4320"/>
          <w:tab w:val="clear" w:pos="9072"/>
          <w:tab w:val="left" w:pos="2074"/>
        </w:tabs>
        <w:snapToGrid/>
        <w:spacing w:before="360" w:line="360" w:lineRule="auto"/>
        <w:jc w:val="both"/>
        <w:rPr>
          <w:szCs w:val="28"/>
        </w:rPr>
      </w:pPr>
      <w:r w:rsidRPr="00662BA1">
        <w:rPr>
          <w:szCs w:val="24"/>
        </w:rPr>
        <w:fldChar w:fldCharType="begin"/>
      </w:r>
      <w:r w:rsidR="00B321E5" w:rsidRPr="00662BA1">
        <w:rPr>
          <w:szCs w:val="24"/>
        </w:rPr>
        <w:instrText xml:space="preserve"> </w:instrText>
      </w:r>
      <w:r w:rsidR="00B321E5" w:rsidRPr="00662BA1">
        <w:rPr>
          <w:rFonts w:hint="eastAsia"/>
          <w:szCs w:val="24"/>
        </w:rPr>
        <w:instrText xml:space="preserve">AUTONUMOUT </w:instrText>
      </w:r>
      <w:r w:rsidR="00B321E5" w:rsidRPr="00662BA1">
        <w:rPr>
          <w:szCs w:val="24"/>
        </w:rPr>
        <w:instrText xml:space="preserve"> </w:instrText>
      </w:r>
      <w:r w:rsidRPr="00662BA1">
        <w:rPr>
          <w:szCs w:val="24"/>
        </w:rPr>
        <w:fldChar w:fldCharType="end"/>
      </w:r>
      <w:r w:rsidR="00B321E5" w:rsidRPr="00662BA1">
        <w:rPr>
          <w:szCs w:val="24"/>
        </w:rPr>
        <w:tab/>
      </w:r>
      <w:r w:rsidR="00176C73" w:rsidRPr="00662BA1">
        <w:rPr>
          <w:szCs w:val="28"/>
        </w:rPr>
        <w:t xml:space="preserve">Although the charges brought against the applicant concerned his dealings in the monies in the various bank accounts by way of deposit only, the judge was entitled to approach the resolution of that issue by having regard to the dealings generally within the account and in the context of the evidence in respect of the various businesses of the applicant and his father. </w:t>
      </w:r>
      <w:r w:rsidR="00001353" w:rsidRPr="00662BA1">
        <w:rPr>
          <w:rFonts w:hint="eastAsia"/>
          <w:szCs w:val="28"/>
        </w:rPr>
        <w:t xml:space="preserve"> </w:t>
      </w:r>
      <w:r w:rsidR="00176C73" w:rsidRPr="00662BA1">
        <w:rPr>
          <w:szCs w:val="28"/>
        </w:rPr>
        <w:t xml:space="preserve">More particularly, he was entitled to determine that they were not involved in cash generating businesses. </w:t>
      </w:r>
      <w:r w:rsidR="00001353" w:rsidRPr="00662BA1">
        <w:rPr>
          <w:rFonts w:hint="eastAsia"/>
          <w:szCs w:val="28"/>
        </w:rPr>
        <w:t xml:space="preserve"> </w:t>
      </w:r>
      <w:r w:rsidR="00176C73" w:rsidRPr="00662BA1">
        <w:rPr>
          <w:szCs w:val="28"/>
        </w:rPr>
        <w:t xml:space="preserve">That finding was highly relevant to the issue of the unexplained provenance and nature of the cash deposits in the bank accounts. </w:t>
      </w:r>
      <w:r w:rsidR="00001353" w:rsidRPr="00662BA1">
        <w:rPr>
          <w:rFonts w:hint="eastAsia"/>
          <w:szCs w:val="28"/>
        </w:rPr>
        <w:t xml:space="preserve"> </w:t>
      </w:r>
      <w:r w:rsidR="00176C73" w:rsidRPr="00662BA1">
        <w:rPr>
          <w:szCs w:val="28"/>
        </w:rPr>
        <w:t>As the judge noted</w:t>
      </w:r>
      <w:r w:rsidR="00CD33F8">
        <w:rPr>
          <w:szCs w:val="28"/>
        </w:rPr>
        <w:t>,</w:t>
      </w:r>
      <w:r w:rsidR="00176C73" w:rsidRPr="00662BA1">
        <w:rPr>
          <w:szCs w:val="28"/>
        </w:rPr>
        <w:t xml:space="preserve"> the need to deposit large sums of money in cash into the bank accounts was unexplained. </w:t>
      </w:r>
      <w:r w:rsidR="00001353" w:rsidRPr="00662BA1">
        <w:rPr>
          <w:rFonts w:hint="eastAsia"/>
          <w:szCs w:val="28"/>
        </w:rPr>
        <w:t xml:space="preserve"> </w:t>
      </w:r>
      <w:r w:rsidR="00176C73" w:rsidRPr="00662BA1">
        <w:rPr>
          <w:szCs w:val="28"/>
        </w:rPr>
        <w:t xml:space="preserve">The judge was entitled to find, as he did, that in all the circumstances the applicant had reasonable grounds to believe that the monies </w:t>
      </w:r>
      <w:r w:rsidR="00CD33F8">
        <w:rPr>
          <w:szCs w:val="28"/>
        </w:rPr>
        <w:t>were</w:t>
      </w:r>
      <w:r w:rsidR="00176C73" w:rsidRPr="00662BA1">
        <w:rPr>
          <w:szCs w:val="28"/>
        </w:rPr>
        <w:t xml:space="preserve"> the proceeds of an indictable offence.</w:t>
      </w:r>
    </w:p>
    <w:p w:rsidR="00001353" w:rsidRPr="00662BA1" w:rsidRDefault="00176C73" w:rsidP="00001353">
      <w:pPr>
        <w:tabs>
          <w:tab w:val="clear" w:pos="4320"/>
          <w:tab w:val="clear" w:pos="9072"/>
          <w:tab w:val="left" w:pos="2074"/>
        </w:tabs>
        <w:snapToGrid/>
        <w:spacing w:before="360" w:line="360" w:lineRule="auto"/>
        <w:jc w:val="both"/>
        <w:rPr>
          <w:i/>
          <w:szCs w:val="28"/>
        </w:rPr>
      </w:pPr>
      <w:r w:rsidRPr="00662BA1">
        <w:rPr>
          <w:i/>
          <w:szCs w:val="28"/>
        </w:rPr>
        <w:t xml:space="preserve">Gold </w:t>
      </w:r>
      <w:proofErr w:type="spellStart"/>
      <w:proofErr w:type="gramStart"/>
      <w:r w:rsidRPr="00662BA1">
        <w:rPr>
          <w:i/>
          <w:szCs w:val="28"/>
        </w:rPr>
        <w:t>Wo</w:t>
      </w:r>
      <w:proofErr w:type="spellEnd"/>
      <w:proofErr w:type="gramEnd"/>
    </w:p>
    <w:p w:rsidR="00E61B5E" w:rsidRPr="00662BA1" w:rsidRDefault="00052537" w:rsidP="00E61B5E">
      <w:pPr>
        <w:tabs>
          <w:tab w:val="clear" w:pos="4320"/>
          <w:tab w:val="clear" w:pos="9072"/>
          <w:tab w:val="left" w:pos="2074"/>
        </w:tabs>
        <w:snapToGrid/>
        <w:spacing w:before="360" w:line="360" w:lineRule="auto"/>
        <w:jc w:val="both"/>
        <w:rPr>
          <w:szCs w:val="28"/>
        </w:rPr>
      </w:pPr>
      <w:r w:rsidRPr="00662BA1">
        <w:rPr>
          <w:szCs w:val="28"/>
        </w:rPr>
        <w:fldChar w:fldCharType="begin"/>
      </w:r>
      <w:r w:rsidR="00001353" w:rsidRPr="00662BA1">
        <w:rPr>
          <w:szCs w:val="28"/>
        </w:rPr>
        <w:instrText xml:space="preserve"> AUTONUMOUT  </w:instrText>
      </w:r>
      <w:r w:rsidRPr="00662BA1">
        <w:rPr>
          <w:szCs w:val="28"/>
        </w:rPr>
        <w:fldChar w:fldCharType="end"/>
      </w:r>
      <w:r w:rsidR="00001353" w:rsidRPr="00662BA1">
        <w:rPr>
          <w:szCs w:val="28"/>
        </w:rPr>
        <w:tab/>
      </w:r>
      <w:r w:rsidR="00176C73" w:rsidRPr="00662BA1">
        <w:rPr>
          <w:szCs w:val="28"/>
        </w:rPr>
        <w:t>The sale on 6 Septemb</w:t>
      </w:r>
      <w:r w:rsidR="00E61B5E" w:rsidRPr="00662BA1">
        <w:rPr>
          <w:szCs w:val="28"/>
        </w:rPr>
        <w:t>er 2001 of 30.5</w:t>
      </w:r>
      <w:r w:rsidR="00E61B5E" w:rsidRPr="00662BA1">
        <w:rPr>
          <w:szCs w:val="28"/>
          <w:lang w:val="en-US"/>
        </w:rPr>
        <w:t> </w:t>
      </w:r>
      <w:r w:rsidR="00E61B5E" w:rsidRPr="00662BA1">
        <w:rPr>
          <w:szCs w:val="28"/>
        </w:rPr>
        <w:t>million and 8.5</w:t>
      </w:r>
      <w:r w:rsidR="00E61B5E" w:rsidRPr="00662BA1">
        <w:rPr>
          <w:szCs w:val="28"/>
          <w:lang w:val="en-US"/>
        </w:rPr>
        <w:t> </w:t>
      </w:r>
      <w:r w:rsidR="00176C73" w:rsidRPr="00662BA1">
        <w:rPr>
          <w:szCs w:val="28"/>
        </w:rPr>
        <w:t xml:space="preserve">million Gold </w:t>
      </w:r>
      <w:proofErr w:type="spellStart"/>
      <w:r w:rsidR="00176C73" w:rsidRPr="00662BA1">
        <w:rPr>
          <w:szCs w:val="28"/>
        </w:rPr>
        <w:t>Wo</w:t>
      </w:r>
      <w:proofErr w:type="spellEnd"/>
      <w:r w:rsidR="00176C73" w:rsidRPr="00662BA1">
        <w:rPr>
          <w:szCs w:val="28"/>
        </w:rPr>
        <w:t xml:space="preserve"> shares in the accounts of the applicant and his father respectively with Hooray Securities resulted in payments on 10 September 2001 to their respective bank accounts with Wing L</w:t>
      </w:r>
      <w:r w:rsidR="00E61B5E" w:rsidRPr="00662BA1">
        <w:rPr>
          <w:szCs w:val="28"/>
        </w:rPr>
        <w:t>ung Bank of $37,529,523 (Charge</w:t>
      </w:r>
      <w:r w:rsidR="00E61B5E" w:rsidRPr="00662BA1">
        <w:rPr>
          <w:szCs w:val="28"/>
          <w:lang w:val="en-US"/>
        </w:rPr>
        <w:t> </w:t>
      </w:r>
      <w:r w:rsidR="00E61B5E" w:rsidRPr="00662BA1">
        <w:rPr>
          <w:szCs w:val="28"/>
        </w:rPr>
        <w:t>1) and $10,459,048 (Charge</w:t>
      </w:r>
      <w:r w:rsidR="00E61B5E" w:rsidRPr="00662BA1">
        <w:rPr>
          <w:szCs w:val="28"/>
          <w:lang w:val="en-US"/>
        </w:rPr>
        <w:t> </w:t>
      </w:r>
      <w:r w:rsidR="00176C73" w:rsidRPr="00662BA1">
        <w:rPr>
          <w:szCs w:val="28"/>
        </w:rPr>
        <w:t xml:space="preserve">5). </w:t>
      </w:r>
      <w:r w:rsidR="00E61B5E" w:rsidRPr="00662BA1">
        <w:rPr>
          <w:szCs w:val="28"/>
        </w:rPr>
        <w:t xml:space="preserve">　</w:t>
      </w:r>
      <w:r w:rsidR="00176C73" w:rsidRPr="00662BA1">
        <w:rPr>
          <w:szCs w:val="28"/>
        </w:rPr>
        <w:t xml:space="preserve">There was no dispute that the respective accounts with Hooray Securities had been opened for the specific transaction, namely to receive those shares from their respective accounts with </w:t>
      </w:r>
      <w:proofErr w:type="spellStart"/>
      <w:r w:rsidR="00176C73" w:rsidRPr="00662BA1">
        <w:rPr>
          <w:szCs w:val="28"/>
        </w:rPr>
        <w:t>Lippo</w:t>
      </w:r>
      <w:proofErr w:type="spellEnd"/>
      <w:r w:rsidR="00176C73" w:rsidRPr="00662BA1">
        <w:rPr>
          <w:szCs w:val="28"/>
        </w:rPr>
        <w:t xml:space="preserve"> Securities and sell the shares. </w:t>
      </w:r>
      <w:r w:rsidR="00E61B5E" w:rsidRPr="00662BA1">
        <w:rPr>
          <w:szCs w:val="28"/>
        </w:rPr>
        <w:t xml:space="preserve">　</w:t>
      </w:r>
      <w:r w:rsidR="00176C73" w:rsidRPr="00662BA1">
        <w:rPr>
          <w:szCs w:val="28"/>
        </w:rPr>
        <w:t>On 6 September 2001 $50,325,000 and $14,000,025 was transferred from the respective accounts of the applicant and his father with Hooray Securities to an account with that firm in the name of Ms Yu Xiao Mei.</w:t>
      </w:r>
      <w:r w:rsidR="00176C73" w:rsidRPr="00662BA1">
        <w:rPr>
          <w:rStyle w:val="FootnoteReference"/>
          <w:szCs w:val="28"/>
        </w:rPr>
        <w:footnoteReference w:id="168"/>
      </w:r>
    </w:p>
    <w:p w:rsidR="00FA32BC" w:rsidRPr="00662BA1" w:rsidRDefault="00052537" w:rsidP="00FA32BC">
      <w:pPr>
        <w:tabs>
          <w:tab w:val="clear" w:pos="4320"/>
          <w:tab w:val="clear" w:pos="9072"/>
          <w:tab w:val="left" w:pos="2074"/>
        </w:tabs>
        <w:snapToGrid/>
        <w:spacing w:before="360" w:line="360" w:lineRule="auto"/>
        <w:jc w:val="both"/>
        <w:rPr>
          <w:szCs w:val="28"/>
        </w:rPr>
      </w:pPr>
      <w:r w:rsidRPr="00662BA1">
        <w:rPr>
          <w:szCs w:val="28"/>
        </w:rPr>
        <w:fldChar w:fldCharType="begin"/>
      </w:r>
      <w:r w:rsidR="00E61B5E" w:rsidRPr="00662BA1">
        <w:rPr>
          <w:szCs w:val="28"/>
        </w:rPr>
        <w:instrText xml:space="preserve"> </w:instrText>
      </w:r>
      <w:r w:rsidR="00E61B5E" w:rsidRPr="00662BA1">
        <w:rPr>
          <w:rFonts w:hint="eastAsia"/>
          <w:szCs w:val="28"/>
        </w:rPr>
        <w:instrText xml:space="preserve">AUTONUMOUT </w:instrText>
      </w:r>
      <w:r w:rsidR="00E61B5E" w:rsidRPr="00662BA1">
        <w:rPr>
          <w:szCs w:val="28"/>
        </w:rPr>
        <w:instrText xml:space="preserve"> </w:instrText>
      </w:r>
      <w:r w:rsidRPr="00662BA1">
        <w:rPr>
          <w:szCs w:val="28"/>
        </w:rPr>
        <w:fldChar w:fldCharType="end"/>
      </w:r>
      <w:r w:rsidR="00E61B5E" w:rsidRPr="00662BA1">
        <w:rPr>
          <w:szCs w:val="28"/>
        </w:rPr>
        <w:tab/>
      </w:r>
      <w:r w:rsidR="00F90AAC">
        <w:rPr>
          <w:szCs w:val="28"/>
        </w:rPr>
        <w:t>It was the applicant’</w:t>
      </w:r>
      <w:r w:rsidR="00176C73" w:rsidRPr="00662BA1">
        <w:rPr>
          <w:szCs w:val="28"/>
        </w:rPr>
        <w:t xml:space="preserve">s testimony that in </w:t>
      </w:r>
      <w:r w:rsidR="00FA32BC" w:rsidRPr="00662BA1">
        <w:rPr>
          <w:szCs w:val="28"/>
        </w:rPr>
        <w:t>May 2001</w:t>
      </w:r>
      <w:r w:rsidR="00CD33F8">
        <w:rPr>
          <w:szCs w:val="28"/>
        </w:rPr>
        <w:t>,</w:t>
      </w:r>
      <w:r w:rsidR="00FA32BC" w:rsidRPr="00662BA1">
        <w:rPr>
          <w:szCs w:val="28"/>
        </w:rPr>
        <w:t xml:space="preserve"> by arrangement with Mr</w:t>
      </w:r>
      <w:r w:rsidR="00FA32BC" w:rsidRPr="00662BA1">
        <w:rPr>
          <w:szCs w:val="28"/>
          <w:lang w:val="en-US"/>
        </w:rPr>
        <w:t>   </w:t>
      </w:r>
      <w:r w:rsidR="00176C73" w:rsidRPr="00662BA1">
        <w:rPr>
          <w:szCs w:val="28"/>
        </w:rPr>
        <w:t>Ben Cheung</w:t>
      </w:r>
      <w:r w:rsidR="00CD33F8">
        <w:rPr>
          <w:szCs w:val="28"/>
        </w:rPr>
        <w:t>,</w:t>
      </w:r>
      <w:r w:rsidR="00176C73" w:rsidRPr="00662BA1">
        <w:rPr>
          <w:szCs w:val="28"/>
        </w:rPr>
        <w:t xml:space="preserve"> </w:t>
      </w:r>
      <w:r w:rsidR="00FA32BC" w:rsidRPr="00662BA1">
        <w:rPr>
          <w:szCs w:val="28"/>
        </w:rPr>
        <w:t>he had bought ‘off market’ 27.9</w:t>
      </w:r>
      <w:r w:rsidR="00FA32BC" w:rsidRPr="00662BA1">
        <w:rPr>
          <w:szCs w:val="28"/>
          <w:lang w:val="en-US"/>
        </w:rPr>
        <w:t> </w:t>
      </w:r>
      <w:r w:rsidR="00176C73" w:rsidRPr="00662BA1">
        <w:rPr>
          <w:szCs w:val="28"/>
        </w:rPr>
        <w:t xml:space="preserve">million of the Gold </w:t>
      </w:r>
      <w:proofErr w:type="spellStart"/>
      <w:r w:rsidR="00176C73" w:rsidRPr="00662BA1">
        <w:rPr>
          <w:szCs w:val="28"/>
        </w:rPr>
        <w:t>Wo</w:t>
      </w:r>
      <w:proofErr w:type="spellEnd"/>
      <w:r w:rsidR="00176C73" w:rsidRPr="00662BA1">
        <w:rPr>
          <w:szCs w:val="28"/>
        </w:rPr>
        <w:t xml:space="preserve"> shares at around $0.42/$0.43, which shares he sold in September 2001.</w:t>
      </w:r>
      <w:r w:rsidR="00176C73" w:rsidRPr="00662BA1">
        <w:rPr>
          <w:rStyle w:val="FootnoteReference"/>
          <w:szCs w:val="28"/>
        </w:rPr>
        <w:footnoteReference w:id="169"/>
      </w:r>
      <w:r w:rsidR="004C50CB">
        <w:rPr>
          <w:szCs w:val="28"/>
          <w:lang w:val="en-US"/>
        </w:rPr>
        <w:t xml:space="preserve">  </w:t>
      </w:r>
      <w:r w:rsidR="00176C73" w:rsidRPr="00662BA1">
        <w:rPr>
          <w:szCs w:val="28"/>
        </w:rPr>
        <w:t>The judge noted that, although the applicant testified that he had made p</w:t>
      </w:r>
      <w:r w:rsidR="00FA32BC" w:rsidRPr="00662BA1">
        <w:rPr>
          <w:szCs w:val="28"/>
        </w:rPr>
        <w:t>ayment directly with the seller</w:t>
      </w:r>
      <w:r w:rsidR="00176C73" w:rsidRPr="00662BA1">
        <w:rPr>
          <w:szCs w:val="28"/>
        </w:rPr>
        <w:t>(s), he could not remember how payment was made.</w:t>
      </w:r>
      <w:r w:rsidR="00176C73" w:rsidRPr="00662BA1">
        <w:rPr>
          <w:rStyle w:val="FootnoteReference"/>
          <w:szCs w:val="28"/>
        </w:rPr>
        <w:footnoteReference w:id="170"/>
      </w:r>
      <w:r w:rsidR="004C50CB">
        <w:rPr>
          <w:szCs w:val="28"/>
        </w:rPr>
        <w:t xml:space="preserve">  </w:t>
      </w:r>
      <w:r w:rsidR="00176C73" w:rsidRPr="00662BA1">
        <w:rPr>
          <w:szCs w:val="28"/>
        </w:rPr>
        <w:t xml:space="preserve">However, the Bought/Sold notes on which </w:t>
      </w:r>
      <w:r w:rsidR="00176C73" w:rsidRPr="00662BA1">
        <w:rPr>
          <w:i/>
          <w:szCs w:val="28"/>
        </w:rPr>
        <w:t xml:space="preserve">ad valorem </w:t>
      </w:r>
      <w:r w:rsidR="00176C73" w:rsidRPr="00662BA1">
        <w:rPr>
          <w:szCs w:val="28"/>
        </w:rPr>
        <w:t xml:space="preserve">stamp duty was levied was dated 22 August 2001 </w:t>
      </w:r>
      <w:r w:rsidR="00CD33F8">
        <w:rPr>
          <w:szCs w:val="28"/>
        </w:rPr>
        <w:t xml:space="preserve">and </w:t>
      </w:r>
      <w:r w:rsidR="00176C73" w:rsidRPr="00662BA1">
        <w:rPr>
          <w:szCs w:val="28"/>
        </w:rPr>
        <w:t>stipulated a price of $2.80 per share,</w:t>
      </w:r>
      <w:r w:rsidR="00176C73" w:rsidRPr="00662BA1">
        <w:rPr>
          <w:rStyle w:val="FootnoteReference"/>
          <w:szCs w:val="28"/>
        </w:rPr>
        <w:footnoteReference w:id="171"/>
      </w:r>
      <w:r w:rsidR="00176C73" w:rsidRPr="00662BA1">
        <w:rPr>
          <w:szCs w:val="28"/>
        </w:rPr>
        <w:t xml:space="preserve"> on which date the shares w</w:t>
      </w:r>
      <w:r w:rsidR="009652D9">
        <w:rPr>
          <w:szCs w:val="28"/>
        </w:rPr>
        <w:t>ere received into the applicant’</w:t>
      </w:r>
      <w:r w:rsidR="00176C73" w:rsidRPr="00662BA1">
        <w:rPr>
          <w:szCs w:val="28"/>
        </w:rPr>
        <w:t xml:space="preserve">s account with </w:t>
      </w:r>
      <w:proofErr w:type="spellStart"/>
      <w:r w:rsidR="00176C73" w:rsidRPr="00662BA1">
        <w:rPr>
          <w:szCs w:val="28"/>
        </w:rPr>
        <w:t>Lippo</w:t>
      </w:r>
      <w:proofErr w:type="spellEnd"/>
      <w:r w:rsidR="00176C73" w:rsidRPr="00662BA1">
        <w:rPr>
          <w:szCs w:val="28"/>
        </w:rPr>
        <w:t xml:space="preserve"> Securities.</w:t>
      </w:r>
    </w:p>
    <w:p w:rsidR="00176C73" w:rsidRPr="00662BA1" w:rsidRDefault="00052537" w:rsidP="00FA32BC">
      <w:pPr>
        <w:tabs>
          <w:tab w:val="clear" w:pos="4320"/>
          <w:tab w:val="clear" w:pos="9072"/>
          <w:tab w:val="left" w:pos="2074"/>
        </w:tabs>
        <w:snapToGrid/>
        <w:spacing w:before="360" w:line="360" w:lineRule="auto"/>
        <w:jc w:val="both"/>
        <w:rPr>
          <w:szCs w:val="28"/>
        </w:rPr>
      </w:pPr>
      <w:r w:rsidRPr="00662BA1">
        <w:rPr>
          <w:szCs w:val="28"/>
        </w:rPr>
        <w:fldChar w:fldCharType="begin"/>
      </w:r>
      <w:r w:rsidR="00FA32BC" w:rsidRPr="00662BA1">
        <w:rPr>
          <w:szCs w:val="28"/>
        </w:rPr>
        <w:instrText xml:space="preserve"> </w:instrText>
      </w:r>
      <w:r w:rsidR="00FA32BC" w:rsidRPr="00662BA1">
        <w:rPr>
          <w:rFonts w:hint="eastAsia"/>
          <w:szCs w:val="28"/>
        </w:rPr>
        <w:instrText xml:space="preserve">AUTONUMOUT </w:instrText>
      </w:r>
      <w:r w:rsidR="00FA32BC" w:rsidRPr="00662BA1">
        <w:rPr>
          <w:szCs w:val="28"/>
        </w:rPr>
        <w:instrText xml:space="preserve"> </w:instrText>
      </w:r>
      <w:r w:rsidRPr="00662BA1">
        <w:rPr>
          <w:szCs w:val="28"/>
        </w:rPr>
        <w:fldChar w:fldCharType="end"/>
      </w:r>
      <w:r w:rsidR="00FA32BC" w:rsidRPr="00662BA1">
        <w:rPr>
          <w:szCs w:val="28"/>
        </w:rPr>
        <w:tab/>
      </w:r>
      <w:r w:rsidR="00176C73" w:rsidRPr="00662BA1">
        <w:rPr>
          <w:szCs w:val="28"/>
        </w:rPr>
        <w:t>As the ju</w:t>
      </w:r>
      <w:r w:rsidR="00F90AAC">
        <w:rPr>
          <w:szCs w:val="28"/>
        </w:rPr>
        <w:t>dge noted, it was the applicant’</w:t>
      </w:r>
      <w:r w:rsidR="00176C73" w:rsidRPr="00662BA1">
        <w:rPr>
          <w:szCs w:val="28"/>
        </w:rPr>
        <w:t xml:space="preserve">s testimony that four or five months after he had acquired that tranche of Gold </w:t>
      </w:r>
      <w:proofErr w:type="spellStart"/>
      <w:r w:rsidR="00176C73" w:rsidRPr="00662BA1">
        <w:rPr>
          <w:szCs w:val="28"/>
        </w:rPr>
        <w:t>Wo</w:t>
      </w:r>
      <w:proofErr w:type="spellEnd"/>
      <w:r w:rsidR="00176C73" w:rsidRPr="00662BA1">
        <w:rPr>
          <w:szCs w:val="28"/>
        </w:rPr>
        <w:t xml:space="preserve"> shares he had been approached by </w:t>
      </w:r>
      <w:r w:rsidR="009D158D" w:rsidRPr="00662BA1">
        <w:rPr>
          <w:szCs w:val="28"/>
        </w:rPr>
        <w:t>Ms</w:t>
      </w:r>
      <w:proofErr w:type="gramStart"/>
      <w:r w:rsidR="009D158D" w:rsidRPr="00662BA1">
        <w:rPr>
          <w:szCs w:val="28"/>
          <w:lang w:val="en-US"/>
        </w:rPr>
        <w:t>  </w:t>
      </w:r>
      <w:r w:rsidR="00176C73" w:rsidRPr="00662BA1">
        <w:rPr>
          <w:szCs w:val="28"/>
        </w:rPr>
        <w:t>Yu</w:t>
      </w:r>
      <w:proofErr w:type="gramEnd"/>
      <w:r w:rsidR="00176C73" w:rsidRPr="00662BA1">
        <w:rPr>
          <w:szCs w:val="28"/>
        </w:rPr>
        <w:t xml:space="preserve"> Xiao Mei who wished to acquire Gold </w:t>
      </w:r>
      <w:proofErr w:type="spellStart"/>
      <w:r w:rsidR="00176C73" w:rsidRPr="00662BA1">
        <w:rPr>
          <w:szCs w:val="28"/>
        </w:rPr>
        <w:t>Wo</w:t>
      </w:r>
      <w:proofErr w:type="spellEnd"/>
      <w:r w:rsidR="00176C73" w:rsidRPr="00662BA1">
        <w:rPr>
          <w:szCs w:val="28"/>
        </w:rPr>
        <w:t xml:space="preserve"> shares.</w:t>
      </w:r>
      <w:r w:rsidR="00176C73" w:rsidRPr="00662BA1">
        <w:rPr>
          <w:rStyle w:val="FootnoteReference"/>
          <w:szCs w:val="28"/>
        </w:rPr>
        <w:footnoteReference w:id="172"/>
      </w:r>
      <w:r w:rsidR="00AC2E71">
        <w:rPr>
          <w:szCs w:val="28"/>
          <w:lang w:val="en-US"/>
        </w:rPr>
        <w:t xml:space="preserve">  </w:t>
      </w:r>
      <w:r w:rsidR="00176C73" w:rsidRPr="00662BA1">
        <w:rPr>
          <w:szCs w:val="28"/>
        </w:rPr>
        <w:t>Although the market price was $2.80 or $2.90 per share, the applicant said that he reached</w:t>
      </w:r>
      <w:r w:rsidR="009D158D" w:rsidRPr="00662BA1">
        <w:rPr>
          <w:szCs w:val="28"/>
        </w:rPr>
        <w:t xml:space="preserve"> </w:t>
      </w:r>
      <w:r w:rsidR="00CD33F8">
        <w:rPr>
          <w:szCs w:val="28"/>
        </w:rPr>
        <w:t xml:space="preserve">an </w:t>
      </w:r>
      <w:r w:rsidR="009D158D" w:rsidRPr="00662BA1">
        <w:rPr>
          <w:szCs w:val="28"/>
        </w:rPr>
        <w:t>agreement to sell her about 30</w:t>
      </w:r>
      <w:r w:rsidR="009D158D" w:rsidRPr="00662BA1">
        <w:rPr>
          <w:szCs w:val="28"/>
          <w:lang w:val="en-US"/>
        </w:rPr>
        <w:t> </w:t>
      </w:r>
      <w:r w:rsidR="00176C73" w:rsidRPr="00662BA1">
        <w:rPr>
          <w:szCs w:val="28"/>
        </w:rPr>
        <w:t>million shares</w:t>
      </w:r>
      <w:r w:rsidR="009D158D" w:rsidRPr="00662BA1">
        <w:rPr>
          <w:szCs w:val="28"/>
        </w:rPr>
        <w:t xml:space="preserve"> at a price of $1.20 per share.</w:t>
      </w:r>
      <w:r w:rsidR="009D158D" w:rsidRPr="00662BA1">
        <w:rPr>
          <w:szCs w:val="28"/>
        </w:rPr>
        <w:t xml:space="preserve">　　</w:t>
      </w:r>
      <w:r w:rsidR="00176C73" w:rsidRPr="00662BA1">
        <w:rPr>
          <w:szCs w:val="28"/>
        </w:rPr>
        <w:t xml:space="preserve">Notwithstanding that agreement, the judge noted of the circumstances of the sale of the Gold </w:t>
      </w:r>
      <w:proofErr w:type="spellStart"/>
      <w:r w:rsidR="00176C73" w:rsidRPr="00662BA1">
        <w:rPr>
          <w:szCs w:val="28"/>
        </w:rPr>
        <w:t>Wo</w:t>
      </w:r>
      <w:proofErr w:type="spellEnd"/>
      <w:r w:rsidR="00176C73" w:rsidRPr="00662BA1">
        <w:rPr>
          <w:szCs w:val="28"/>
        </w:rPr>
        <w:t xml:space="preserve"> shares in September 2001:</w:t>
      </w:r>
      <w:r w:rsidR="00176C73" w:rsidRPr="00662BA1">
        <w:rPr>
          <w:rStyle w:val="FootnoteReference"/>
          <w:szCs w:val="28"/>
        </w:rPr>
        <w:footnoteReference w:id="173"/>
      </w:r>
    </w:p>
    <w:p w:rsidR="009D158D" w:rsidRPr="00662BA1" w:rsidRDefault="009D158D" w:rsidP="009D158D">
      <w:pPr>
        <w:tabs>
          <w:tab w:val="clear" w:pos="1440"/>
          <w:tab w:val="clear" w:pos="4320"/>
          <w:tab w:val="clear" w:pos="9072"/>
          <w:tab w:val="left" w:pos="2074"/>
        </w:tabs>
        <w:snapToGrid/>
        <w:spacing w:before="240"/>
        <w:ind w:left="1454" w:right="835" w:hanging="187"/>
        <w:jc w:val="both"/>
        <w:rPr>
          <w:sz w:val="24"/>
          <w:szCs w:val="24"/>
        </w:rPr>
      </w:pPr>
      <w:r w:rsidRPr="00662BA1">
        <w:rPr>
          <w:rFonts w:eastAsia="PMingLiU"/>
          <w:sz w:val="24"/>
          <w:szCs w:val="24"/>
          <w:lang w:val="en-US" w:eastAsia="zh-TW"/>
        </w:rPr>
        <w:t>“</w:t>
      </w:r>
      <w:r w:rsidRPr="00662BA1">
        <w:rPr>
          <w:rFonts w:eastAsia="PMingLiU"/>
          <w:sz w:val="24"/>
          <w:szCs w:val="24"/>
          <w:lang w:val="en-US" w:eastAsia="zh-TW"/>
        </w:rPr>
        <w:tab/>
      </w:r>
      <w:r w:rsidR="00176C73" w:rsidRPr="00662BA1">
        <w:rPr>
          <w:sz w:val="24"/>
          <w:szCs w:val="24"/>
        </w:rPr>
        <w:t xml:space="preserve">The buy and sell orders were not put on the market through the automated CCASS matching system. </w:t>
      </w:r>
      <w:r w:rsidRPr="00662BA1">
        <w:rPr>
          <w:sz w:val="24"/>
          <w:szCs w:val="24"/>
        </w:rPr>
        <w:t xml:space="preserve"> </w:t>
      </w:r>
      <w:r w:rsidR="00176C73" w:rsidRPr="00662BA1">
        <w:rPr>
          <w:sz w:val="24"/>
          <w:szCs w:val="24"/>
        </w:rPr>
        <w:t>Instead, both parties negotiated a price in private and then “</w:t>
      </w:r>
      <w:r w:rsidR="00176C73" w:rsidRPr="00662BA1">
        <w:rPr>
          <w:i/>
          <w:sz w:val="24"/>
          <w:szCs w:val="24"/>
        </w:rPr>
        <w:t xml:space="preserve">it went on the </w:t>
      </w:r>
      <w:proofErr w:type="spellStart"/>
      <w:r w:rsidR="00176C73" w:rsidRPr="00662BA1">
        <w:rPr>
          <w:i/>
          <w:sz w:val="24"/>
          <w:szCs w:val="24"/>
        </w:rPr>
        <w:t>Teletext</w:t>
      </w:r>
      <w:proofErr w:type="spellEnd"/>
      <w:r w:rsidR="00176C73" w:rsidRPr="00662BA1">
        <w:rPr>
          <w:i/>
          <w:sz w:val="24"/>
          <w:szCs w:val="24"/>
        </w:rPr>
        <w:t xml:space="preserve"> terminal</w:t>
      </w:r>
      <w:r w:rsidR="00176C73" w:rsidRPr="00662BA1">
        <w:rPr>
          <w:sz w:val="24"/>
          <w:szCs w:val="24"/>
        </w:rPr>
        <w:t xml:space="preserve">”. </w:t>
      </w:r>
      <w:r w:rsidRPr="00662BA1">
        <w:rPr>
          <w:sz w:val="24"/>
          <w:szCs w:val="24"/>
        </w:rPr>
        <w:t xml:space="preserve"> The 30.5 </w:t>
      </w:r>
      <w:r w:rsidR="00176C73" w:rsidRPr="00662BA1">
        <w:rPr>
          <w:sz w:val="24"/>
          <w:szCs w:val="24"/>
        </w:rPr>
        <w:t xml:space="preserve">million shares the </w:t>
      </w:r>
      <w:r w:rsidRPr="00662BA1">
        <w:rPr>
          <w:sz w:val="24"/>
          <w:szCs w:val="24"/>
        </w:rPr>
        <w:t>defendant said were sold to Ms. </w:t>
      </w:r>
      <w:r w:rsidR="00176C73" w:rsidRPr="00662BA1">
        <w:rPr>
          <w:sz w:val="24"/>
          <w:szCs w:val="24"/>
        </w:rPr>
        <w:t xml:space="preserve">Yu in-chief </w:t>
      </w:r>
      <w:proofErr w:type="gramStart"/>
      <w:r w:rsidR="00176C73" w:rsidRPr="00662BA1">
        <w:rPr>
          <w:sz w:val="24"/>
          <w:szCs w:val="24"/>
        </w:rPr>
        <w:t>was</w:t>
      </w:r>
      <w:proofErr w:type="gramEnd"/>
      <w:r w:rsidR="00176C73" w:rsidRPr="00662BA1">
        <w:rPr>
          <w:sz w:val="24"/>
          <w:szCs w:val="24"/>
        </w:rPr>
        <w:t xml:space="preserve"> therefore actually duly sold on the market through on-market transactions, and the funds from the sales credited to the defendant’s Hooray trading account.</w:t>
      </w:r>
      <w:r w:rsidRPr="00662BA1">
        <w:rPr>
          <w:sz w:val="24"/>
          <w:szCs w:val="24"/>
        </w:rPr>
        <w:t>”</w:t>
      </w:r>
    </w:p>
    <w:p w:rsidR="009D158D" w:rsidRPr="00662BA1" w:rsidRDefault="009D158D" w:rsidP="009D158D">
      <w:pPr>
        <w:tabs>
          <w:tab w:val="clear" w:pos="1440"/>
          <w:tab w:val="clear" w:pos="4320"/>
          <w:tab w:val="clear" w:pos="9072"/>
          <w:tab w:val="left" w:pos="2074"/>
        </w:tabs>
        <w:snapToGrid/>
        <w:spacing w:line="80" w:lineRule="exact"/>
        <w:ind w:left="1454" w:right="835" w:hanging="187"/>
        <w:jc w:val="both"/>
        <w:rPr>
          <w:sz w:val="24"/>
          <w:szCs w:val="24"/>
        </w:rPr>
      </w:pPr>
    </w:p>
    <w:p w:rsidR="00176C73" w:rsidRPr="00662BA1" w:rsidRDefault="00176C73" w:rsidP="009D158D">
      <w:pPr>
        <w:tabs>
          <w:tab w:val="clear" w:pos="1440"/>
          <w:tab w:val="clear" w:pos="4320"/>
          <w:tab w:val="clear" w:pos="9072"/>
          <w:tab w:val="left" w:pos="2074"/>
        </w:tabs>
        <w:snapToGrid/>
        <w:spacing w:line="80" w:lineRule="exact"/>
        <w:ind w:left="1454" w:right="835" w:hanging="187"/>
        <w:jc w:val="both"/>
        <w:rPr>
          <w:sz w:val="24"/>
          <w:szCs w:val="24"/>
        </w:rPr>
      </w:pPr>
    </w:p>
    <w:p w:rsidR="009D158D" w:rsidRPr="00662BA1" w:rsidRDefault="00052537" w:rsidP="00F77555">
      <w:pPr>
        <w:tabs>
          <w:tab w:val="clear" w:pos="4320"/>
          <w:tab w:val="clear" w:pos="9072"/>
        </w:tabs>
        <w:snapToGrid/>
        <w:spacing w:before="360" w:line="360" w:lineRule="auto"/>
        <w:jc w:val="both"/>
        <w:rPr>
          <w:szCs w:val="28"/>
        </w:rPr>
      </w:pPr>
      <w:r w:rsidRPr="00662BA1">
        <w:rPr>
          <w:szCs w:val="28"/>
        </w:rPr>
        <w:fldChar w:fldCharType="begin"/>
      </w:r>
      <w:r w:rsidR="009D158D" w:rsidRPr="00662BA1">
        <w:rPr>
          <w:szCs w:val="28"/>
        </w:rPr>
        <w:instrText xml:space="preserve"> AUTONUMOUT  </w:instrText>
      </w:r>
      <w:r w:rsidRPr="00662BA1">
        <w:rPr>
          <w:szCs w:val="28"/>
        </w:rPr>
        <w:fldChar w:fldCharType="end"/>
      </w:r>
      <w:r w:rsidR="009D158D" w:rsidRPr="00662BA1">
        <w:rPr>
          <w:szCs w:val="28"/>
        </w:rPr>
        <w:tab/>
      </w:r>
      <w:r w:rsidR="00176C73" w:rsidRPr="00662BA1">
        <w:rPr>
          <w:szCs w:val="28"/>
        </w:rPr>
        <w:t>The judge went on to n</w:t>
      </w:r>
      <w:r w:rsidR="009D158D" w:rsidRPr="00662BA1">
        <w:rPr>
          <w:szCs w:val="28"/>
        </w:rPr>
        <w:t>ote the effect of the applicant’</w:t>
      </w:r>
      <w:r w:rsidR="00176C73" w:rsidRPr="00662BA1">
        <w:rPr>
          <w:szCs w:val="28"/>
        </w:rPr>
        <w:t xml:space="preserve">s testimony in respect of the buying price of the </w:t>
      </w:r>
      <w:r w:rsidR="009D158D" w:rsidRPr="00662BA1">
        <w:rPr>
          <w:szCs w:val="28"/>
        </w:rPr>
        <w:t>shares, namely that it was “</w:t>
      </w:r>
      <w:r w:rsidR="00176C73" w:rsidRPr="00662BA1">
        <w:rPr>
          <w:szCs w:val="28"/>
        </w:rPr>
        <w:t>the market price that the shares were bought at which was $2.90 less the $1.20 per share that was promised to the defendant and his father, which was $1.70.</w:t>
      </w:r>
      <w:r w:rsidR="009D158D" w:rsidRPr="00662BA1">
        <w:rPr>
          <w:szCs w:val="28"/>
        </w:rPr>
        <w:t>” </w:t>
      </w:r>
      <w:r w:rsidR="00176C73" w:rsidRPr="00662BA1">
        <w:rPr>
          <w:rStyle w:val="FootnoteReference"/>
          <w:szCs w:val="28"/>
        </w:rPr>
        <w:footnoteReference w:id="174"/>
      </w:r>
      <w:r w:rsidR="009D158D" w:rsidRPr="00662BA1">
        <w:rPr>
          <w:szCs w:val="28"/>
        </w:rPr>
        <w:t xml:space="preserve">  </w:t>
      </w:r>
      <w:r w:rsidR="00176C73" w:rsidRPr="00662BA1">
        <w:rPr>
          <w:szCs w:val="28"/>
        </w:rPr>
        <w:t>It was the effect of the applicant</w:t>
      </w:r>
      <w:r w:rsidR="00F77555">
        <w:rPr>
          <w:szCs w:val="28"/>
        </w:rPr>
        <w:t>’</w:t>
      </w:r>
      <w:r w:rsidR="00176C73" w:rsidRPr="00662BA1">
        <w:rPr>
          <w:szCs w:val="28"/>
        </w:rPr>
        <w:t>s evidence that to give effect to the arrangement, given that the payment of the full market price for the shares had been received into their Hooray Securities accounts, the applicant and his father had arranged for payment to be made from those accounts to the Hooray Securities account of Ms Yu Xiao Mei.</w:t>
      </w:r>
    </w:p>
    <w:p w:rsidR="00176C73" w:rsidRPr="00662BA1" w:rsidRDefault="00052537" w:rsidP="009D158D">
      <w:pPr>
        <w:tabs>
          <w:tab w:val="clear" w:pos="4320"/>
        </w:tabs>
        <w:snapToGrid/>
        <w:spacing w:before="360" w:line="360" w:lineRule="auto"/>
        <w:jc w:val="both"/>
        <w:rPr>
          <w:szCs w:val="28"/>
        </w:rPr>
      </w:pPr>
      <w:r w:rsidRPr="00662BA1">
        <w:rPr>
          <w:szCs w:val="28"/>
        </w:rPr>
        <w:fldChar w:fldCharType="begin"/>
      </w:r>
      <w:r w:rsidR="009D158D" w:rsidRPr="00662BA1">
        <w:rPr>
          <w:szCs w:val="28"/>
        </w:rPr>
        <w:instrText xml:space="preserve"> AUTONUMOUT  </w:instrText>
      </w:r>
      <w:r w:rsidRPr="00662BA1">
        <w:rPr>
          <w:szCs w:val="28"/>
        </w:rPr>
        <w:fldChar w:fldCharType="end"/>
      </w:r>
      <w:r w:rsidR="009D158D" w:rsidRPr="00662BA1">
        <w:rPr>
          <w:szCs w:val="28"/>
        </w:rPr>
        <w:tab/>
      </w:r>
      <w:r w:rsidR="00176C73" w:rsidRPr="00662BA1">
        <w:rPr>
          <w:szCs w:val="28"/>
        </w:rPr>
        <w:t xml:space="preserve">The </w:t>
      </w:r>
      <w:r w:rsidR="009D158D" w:rsidRPr="00662BA1">
        <w:rPr>
          <w:szCs w:val="28"/>
        </w:rPr>
        <w:t>judge found that the applicant “did not tell the whole truth”</w:t>
      </w:r>
      <w:r w:rsidR="00176C73" w:rsidRPr="00662BA1">
        <w:rPr>
          <w:szCs w:val="28"/>
        </w:rPr>
        <w:t xml:space="preserve"> about</w:t>
      </w:r>
      <w:r w:rsidR="009D158D" w:rsidRPr="00662BA1">
        <w:rPr>
          <w:szCs w:val="28"/>
        </w:rPr>
        <w:t xml:space="preserve"> either his arrangement with Mr </w:t>
      </w:r>
      <w:r w:rsidR="00176C73" w:rsidRPr="00662BA1">
        <w:rPr>
          <w:szCs w:val="28"/>
        </w:rPr>
        <w:t xml:space="preserve">Ben </w:t>
      </w:r>
      <w:r w:rsidR="009D158D" w:rsidRPr="00662BA1">
        <w:rPr>
          <w:szCs w:val="28"/>
        </w:rPr>
        <w:t xml:space="preserve">Cheung for the purchase of 27.9 million Gold </w:t>
      </w:r>
      <w:proofErr w:type="spellStart"/>
      <w:r w:rsidR="009D158D" w:rsidRPr="00662BA1">
        <w:rPr>
          <w:szCs w:val="28"/>
        </w:rPr>
        <w:t>Wo</w:t>
      </w:r>
      <w:proofErr w:type="spellEnd"/>
      <w:r w:rsidR="009D158D" w:rsidRPr="00662BA1">
        <w:rPr>
          <w:szCs w:val="28"/>
        </w:rPr>
        <w:t xml:space="preserve"> shares “</w:t>
      </w:r>
      <w:r w:rsidR="00176C73" w:rsidRPr="00662BA1">
        <w:rPr>
          <w:szCs w:val="28"/>
        </w:rPr>
        <w:t>at a bi</w:t>
      </w:r>
      <w:r w:rsidR="009D158D" w:rsidRPr="00662BA1">
        <w:rPr>
          <w:szCs w:val="28"/>
        </w:rPr>
        <w:t>g discount off the market price”</w:t>
      </w:r>
      <w:r w:rsidR="00176C73" w:rsidRPr="00662BA1">
        <w:rPr>
          <w:szCs w:val="28"/>
        </w:rPr>
        <w:t xml:space="preserve"> or his arrangement with Ms</w:t>
      </w:r>
      <w:r w:rsidR="009D158D" w:rsidRPr="00662BA1">
        <w:rPr>
          <w:szCs w:val="28"/>
        </w:rPr>
        <w:t> </w:t>
      </w:r>
      <w:r w:rsidR="00176C73" w:rsidRPr="00662BA1">
        <w:rPr>
          <w:szCs w:val="28"/>
        </w:rPr>
        <w:t xml:space="preserve">Yu Xiao Mei for the sale of </w:t>
      </w:r>
      <w:r w:rsidR="009D158D" w:rsidRPr="00662BA1">
        <w:rPr>
          <w:szCs w:val="28"/>
        </w:rPr>
        <w:t xml:space="preserve">those and other Gold </w:t>
      </w:r>
      <w:proofErr w:type="spellStart"/>
      <w:r w:rsidR="009D158D" w:rsidRPr="00662BA1">
        <w:rPr>
          <w:szCs w:val="28"/>
        </w:rPr>
        <w:t>Wo</w:t>
      </w:r>
      <w:proofErr w:type="spellEnd"/>
      <w:r w:rsidR="009D158D" w:rsidRPr="00662BA1">
        <w:rPr>
          <w:szCs w:val="28"/>
        </w:rPr>
        <w:t xml:space="preserve"> shares “</w:t>
      </w:r>
      <w:r w:rsidR="00176C73" w:rsidRPr="00662BA1">
        <w:rPr>
          <w:szCs w:val="28"/>
        </w:rPr>
        <w:t xml:space="preserve">at $1.2 per share, which was lower than the then market price of $2.8 or $2.9, but almost </w:t>
      </w:r>
      <w:r w:rsidR="009D158D" w:rsidRPr="00662BA1">
        <w:rPr>
          <w:szCs w:val="28"/>
        </w:rPr>
        <w:t>three</w:t>
      </w:r>
      <w:r w:rsidR="00176C73" w:rsidRPr="00662BA1">
        <w:rPr>
          <w:szCs w:val="28"/>
        </w:rPr>
        <w:t xml:space="preserve"> times the price he bought the shares for.</w:t>
      </w:r>
      <w:r w:rsidR="009D158D" w:rsidRPr="00662BA1">
        <w:rPr>
          <w:szCs w:val="28"/>
        </w:rPr>
        <w:t>”</w:t>
      </w:r>
      <w:r w:rsidR="00176C73" w:rsidRPr="00662BA1">
        <w:rPr>
          <w:rStyle w:val="FootnoteReference"/>
          <w:szCs w:val="28"/>
        </w:rPr>
        <w:footnoteReference w:id="175"/>
      </w:r>
      <w:r w:rsidR="009D158D" w:rsidRPr="00662BA1">
        <w:rPr>
          <w:szCs w:val="28"/>
        </w:rPr>
        <w:t xml:space="preserve">  </w:t>
      </w:r>
      <w:r w:rsidR="00176C73" w:rsidRPr="00662BA1">
        <w:rPr>
          <w:szCs w:val="28"/>
        </w:rPr>
        <w:t>Subsequently, the judge said that he found that the applicant:</w:t>
      </w:r>
      <w:r w:rsidR="00176C73" w:rsidRPr="00662BA1">
        <w:rPr>
          <w:rStyle w:val="FootnoteReference"/>
          <w:szCs w:val="28"/>
        </w:rPr>
        <w:footnoteReference w:id="176"/>
      </w:r>
    </w:p>
    <w:p w:rsidR="009D158D" w:rsidRPr="00662BA1" w:rsidRDefault="009D158D" w:rsidP="009D158D">
      <w:pPr>
        <w:tabs>
          <w:tab w:val="clear" w:pos="1440"/>
          <w:tab w:val="clear" w:pos="4320"/>
          <w:tab w:val="clear" w:pos="9072"/>
          <w:tab w:val="left" w:pos="2074"/>
        </w:tabs>
        <w:snapToGrid/>
        <w:spacing w:before="240"/>
        <w:ind w:left="1454" w:right="835" w:hanging="187"/>
        <w:jc w:val="both"/>
        <w:rPr>
          <w:sz w:val="24"/>
          <w:szCs w:val="24"/>
        </w:rPr>
      </w:pPr>
      <w:r w:rsidRPr="00662BA1">
        <w:rPr>
          <w:sz w:val="24"/>
          <w:szCs w:val="24"/>
        </w:rPr>
        <w:t>“</w:t>
      </w:r>
      <w:r w:rsidRPr="00662BA1">
        <w:rPr>
          <w:sz w:val="24"/>
          <w:szCs w:val="24"/>
        </w:rPr>
        <w:tab/>
      </w:r>
      <w:proofErr w:type="gramStart"/>
      <w:r w:rsidR="00176C73" w:rsidRPr="00662BA1">
        <w:rPr>
          <w:sz w:val="24"/>
          <w:szCs w:val="24"/>
        </w:rPr>
        <w:t>was</w:t>
      </w:r>
      <w:proofErr w:type="gramEnd"/>
      <w:r w:rsidR="00176C73" w:rsidRPr="00662BA1">
        <w:rPr>
          <w:sz w:val="24"/>
          <w:szCs w:val="24"/>
        </w:rPr>
        <w:t xml:space="preserve"> lying about the true</w:t>
      </w:r>
      <w:r w:rsidRPr="00662BA1">
        <w:rPr>
          <w:sz w:val="24"/>
          <w:szCs w:val="24"/>
        </w:rPr>
        <w:t xml:space="preserve"> nature of his dealings with Ms </w:t>
      </w:r>
      <w:r w:rsidR="00176C73" w:rsidRPr="00662BA1">
        <w:rPr>
          <w:sz w:val="24"/>
          <w:szCs w:val="24"/>
        </w:rPr>
        <w:t>Yu and the circumstances surrounding the sale</w:t>
      </w:r>
      <w:r w:rsidRPr="00662BA1">
        <w:rPr>
          <w:sz w:val="24"/>
          <w:szCs w:val="24"/>
        </w:rPr>
        <w:t xml:space="preserve"> of Gold </w:t>
      </w:r>
      <w:proofErr w:type="spellStart"/>
      <w:r w:rsidRPr="00662BA1">
        <w:rPr>
          <w:sz w:val="24"/>
          <w:szCs w:val="24"/>
        </w:rPr>
        <w:t>Wo</w:t>
      </w:r>
      <w:proofErr w:type="spellEnd"/>
      <w:r w:rsidRPr="00662BA1">
        <w:rPr>
          <w:sz w:val="24"/>
          <w:szCs w:val="24"/>
        </w:rPr>
        <w:t xml:space="preserve"> shares through her.”</w:t>
      </w:r>
    </w:p>
    <w:p w:rsidR="009D158D" w:rsidRPr="00662BA1" w:rsidRDefault="009D158D" w:rsidP="009D158D">
      <w:pPr>
        <w:tabs>
          <w:tab w:val="clear" w:pos="1440"/>
          <w:tab w:val="clear" w:pos="4320"/>
          <w:tab w:val="clear" w:pos="9072"/>
          <w:tab w:val="left" w:pos="2074"/>
        </w:tabs>
        <w:snapToGrid/>
        <w:spacing w:line="80" w:lineRule="exact"/>
        <w:ind w:left="1454" w:right="835" w:hanging="187"/>
        <w:jc w:val="both"/>
        <w:rPr>
          <w:sz w:val="24"/>
          <w:szCs w:val="24"/>
        </w:rPr>
      </w:pPr>
    </w:p>
    <w:p w:rsidR="00176C73" w:rsidRPr="00662BA1" w:rsidRDefault="00176C73" w:rsidP="009D158D">
      <w:pPr>
        <w:tabs>
          <w:tab w:val="clear" w:pos="1440"/>
          <w:tab w:val="clear" w:pos="4320"/>
          <w:tab w:val="clear" w:pos="9072"/>
          <w:tab w:val="left" w:pos="2074"/>
        </w:tabs>
        <w:snapToGrid/>
        <w:spacing w:line="80" w:lineRule="exact"/>
        <w:ind w:left="1454" w:right="835" w:hanging="187"/>
        <w:jc w:val="both"/>
        <w:rPr>
          <w:szCs w:val="28"/>
        </w:rPr>
      </w:pPr>
    </w:p>
    <w:p w:rsidR="00176C73" w:rsidRPr="00662BA1" w:rsidRDefault="00052537" w:rsidP="009D158D">
      <w:pPr>
        <w:tabs>
          <w:tab w:val="clear" w:pos="4320"/>
        </w:tabs>
        <w:snapToGrid/>
        <w:spacing w:before="360" w:line="360" w:lineRule="auto"/>
        <w:jc w:val="both"/>
        <w:rPr>
          <w:szCs w:val="28"/>
        </w:rPr>
      </w:pPr>
      <w:r w:rsidRPr="00662BA1">
        <w:rPr>
          <w:szCs w:val="28"/>
        </w:rPr>
        <w:fldChar w:fldCharType="begin"/>
      </w:r>
      <w:r w:rsidR="009D158D" w:rsidRPr="00662BA1">
        <w:rPr>
          <w:szCs w:val="28"/>
        </w:rPr>
        <w:instrText xml:space="preserve"> AUTONUMOUT  </w:instrText>
      </w:r>
      <w:r w:rsidRPr="00662BA1">
        <w:rPr>
          <w:szCs w:val="28"/>
        </w:rPr>
        <w:fldChar w:fldCharType="end"/>
      </w:r>
      <w:r w:rsidR="009D158D" w:rsidRPr="00662BA1">
        <w:rPr>
          <w:szCs w:val="28"/>
        </w:rPr>
        <w:tab/>
      </w:r>
      <w:r w:rsidR="00176C73" w:rsidRPr="00662BA1">
        <w:rPr>
          <w:szCs w:val="28"/>
        </w:rPr>
        <w:t>Of the latter arrangement, he said:</w:t>
      </w:r>
      <w:r w:rsidR="00176C73" w:rsidRPr="00662BA1">
        <w:rPr>
          <w:rStyle w:val="FootnoteReference"/>
          <w:szCs w:val="28"/>
        </w:rPr>
        <w:footnoteReference w:id="177"/>
      </w:r>
    </w:p>
    <w:p w:rsidR="009D158D" w:rsidRPr="00662BA1" w:rsidRDefault="009D158D" w:rsidP="009D158D">
      <w:pPr>
        <w:tabs>
          <w:tab w:val="clear" w:pos="1440"/>
          <w:tab w:val="clear" w:pos="4320"/>
          <w:tab w:val="clear" w:pos="9072"/>
          <w:tab w:val="left" w:pos="2074"/>
        </w:tabs>
        <w:snapToGrid/>
        <w:spacing w:before="240"/>
        <w:ind w:left="1454" w:right="835" w:hanging="187"/>
        <w:jc w:val="both"/>
        <w:rPr>
          <w:sz w:val="24"/>
          <w:szCs w:val="24"/>
        </w:rPr>
      </w:pPr>
      <w:r w:rsidRPr="00662BA1">
        <w:rPr>
          <w:sz w:val="24"/>
          <w:szCs w:val="24"/>
        </w:rPr>
        <w:t>“</w:t>
      </w:r>
      <w:r w:rsidRPr="00662BA1">
        <w:rPr>
          <w:sz w:val="24"/>
          <w:szCs w:val="24"/>
        </w:rPr>
        <w:tab/>
      </w:r>
      <w:r w:rsidR="00176C73" w:rsidRPr="00662BA1">
        <w:rPr>
          <w:sz w:val="24"/>
          <w:szCs w:val="24"/>
        </w:rPr>
        <w:t xml:space="preserve">Ms Yu did nothing except to connect the defendant with the purchasers of the shares. </w:t>
      </w:r>
      <w:r w:rsidRPr="00662BA1">
        <w:rPr>
          <w:sz w:val="24"/>
          <w:szCs w:val="24"/>
        </w:rPr>
        <w:t xml:space="preserve"> </w:t>
      </w:r>
      <w:r w:rsidR="00176C73" w:rsidRPr="00662BA1">
        <w:rPr>
          <w:sz w:val="24"/>
          <w:szCs w:val="24"/>
        </w:rPr>
        <w:t>It was a huge sum of money to p</w:t>
      </w:r>
      <w:r w:rsidRPr="00662BA1">
        <w:rPr>
          <w:sz w:val="24"/>
          <w:szCs w:val="24"/>
        </w:rPr>
        <w:t>ay someone for doing so little.”</w:t>
      </w:r>
    </w:p>
    <w:p w:rsidR="009D158D" w:rsidRPr="00662BA1" w:rsidRDefault="009D158D" w:rsidP="009D158D">
      <w:pPr>
        <w:tabs>
          <w:tab w:val="clear" w:pos="1440"/>
          <w:tab w:val="clear" w:pos="4320"/>
          <w:tab w:val="clear" w:pos="9072"/>
          <w:tab w:val="left" w:pos="2074"/>
        </w:tabs>
        <w:snapToGrid/>
        <w:spacing w:line="80" w:lineRule="exact"/>
        <w:ind w:left="1454" w:right="835" w:hanging="187"/>
        <w:jc w:val="both"/>
        <w:rPr>
          <w:sz w:val="24"/>
          <w:szCs w:val="24"/>
        </w:rPr>
      </w:pPr>
    </w:p>
    <w:p w:rsidR="00176C73" w:rsidRPr="00662BA1" w:rsidRDefault="00176C73" w:rsidP="009D158D">
      <w:pPr>
        <w:tabs>
          <w:tab w:val="clear" w:pos="1440"/>
          <w:tab w:val="clear" w:pos="4320"/>
          <w:tab w:val="clear" w:pos="9072"/>
          <w:tab w:val="left" w:pos="2074"/>
        </w:tabs>
        <w:snapToGrid/>
        <w:spacing w:line="80" w:lineRule="exact"/>
        <w:ind w:left="1454" w:right="835" w:hanging="187"/>
        <w:jc w:val="both"/>
        <w:rPr>
          <w:sz w:val="24"/>
          <w:szCs w:val="24"/>
        </w:rPr>
      </w:pPr>
    </w:p>
    <w:p w:rsidR="00176C73" w:rsidRPr="00662BA1" w:rsidRDefault="00052537" w:rsidP="009D158D">
      <w:pPr>
        <w:tabs>
          <w:tab w:val="clear" w:pos="4320"/>
        </w:tabs>
        <w:snapToGrid/>
        <w:spacing w:before="360" w:line="360" w:lineRule="auto"/>
        <w:jc w:val="both"/>
        <w:rPr>
          <w:szCs w:val="28"/>
        </w:rPr>
      </w:pPr>
      <w:r w:rsidRPr="00662BA1">
        <w:rPr>
          <w:szCs w:val="28"/>
        </w:rPr>
        <w:fldChar w:fldCharType="begin"/>
      </w:r>
      <w:r w:rsidR="009D158D" w:rsidRPr="00662BA1">
        <w:rPr>
          <w:szCs w:val="28"/>
        </w:rPr>
        <w:instrText xml:space="preserve"> AUTONUMOUT  </w:instrText>
      </w:r>
      <w:r w:rsidRPr="00662BA1">
        <w:rPr>
          <w:szCs w:val="28"/>
        </w:rPr>
        <w:fldChar w:fldCharType="end"/>
      </w:r>
      <w:r w:rsidR="009D158D" w:rsidRPr="00662BA1">
        <w:rPr>
          <w:szCs w:val="28"/>
        </w:rPr>
        <w:tab/>
      </w:r>
      <w:r w:rsidR="00176C73" w:rsidRPr="00662BA1">
        <w:rPr>
          <w:szCs w:val="28"/>
        </w:rPr>
        <w:t>Of the documentation evidencing the arrangement between the parties for the sale of the shares, the judge said:</w:t>
      </w:r>
      <w:r w:rsidR="00176C73" w:rsidRPr="00662BA1">
        <w:rPr>
          <w:rStyle w:val="FootnoteReference"/>
          <w:szCs w:val="28"/>
        </w:rPr>
        <w:footnoteReference w:id="178"/>
      </w:r>
    </w:p>
    <w:p w:rsidR="009D158D" w:rsidRPr="00662BA1" w:rsidRDefault="009D158D" w:rsidP="009D158D">
      <w:pPr>
        <w:pStyle w:val="ListParagraph"/>
        <w:tabs>
          <w:tab w:val="clear" w:pos="1440"/>
          <w:tab w:val="clear" w:pos="4320"/>
          <w:tab w:val="clear" w:pos="9072"/>
          <w:tab w:val="left" w:pos="2074"/>
        </w:tabs>
        <w:snapToGrid/>
        <w:spacing w:before="240"/>
        <w:ind w:left="1454" w:right="835" w:hanging="187"/>
        <w:jc w:val="both"/>
        <w:rPr>
          <w:sz w:val="24"/>
          <w:szCs w:val="24"/>
        </w:rPr>
      </w:pPr>
      <w:r w:rsidRPr="00662BA1">
        <w:rPr>
          <w:sz w:val="24"/>
          <w:szCs w:val="24"/>
        </w:rPr>
        <w:t>“</w:t>
      </w:r>
      <w:r w:rsidRPr="00662BA1">
        <w:rPr>
          <w:sz w:val="24"/>
          <w:szCs w:val="24"/>
        </w:rPr>
        <w:tab/>
      </w:r>
      <w:r w:rsidR="00176C73" w:rsidRPr="00662BA1">
        <w:rPr>
          <w:sz w:val="24"/>
          <w:szCs w:val="24"/>
        </w:rPr>
        <w:t xml:space="preserve">…the defendant’s evidence is that the arrangement was evidenced in the transfer authorization given to Hooray and nowhere else. </w:t>
      </w:r>
      <w:r w:rsidRPr="00662BA1">
        <w:rPr>
          <w:sz w:val="24"/>
          <w:szCs w:val="24"/>
        </w:rPr>
        <w:t xml:space="preserve"> </w:t>
      </w:r>
      <w:r w:rsidR="00176C73" w:rsidRPr="00662BA1">
        <w:rPr>
          <w:i/>
          <w:sz w:val="24"/>
          <w:szCs w:val="24"/>
        </w:rPr>
        <w:t>The documents however do not even hint at the existence of such an arrangement.</w:t>
      </w:r>
      <w:r w:rsidR="00176C73" w:rsidRPr="00662BA1">
        <w:rPr>
          <w:sz w:val="24"/>
          <w:szCs w:val="24"/>
        </w:rPr>
        <w:t xml:space="preserve"> </w:t>
      </w:r>
      <w:r w:rsidRPr="00662BA1">
        <w:rPr>
          <w:sz w:val="24"/>
          <w:szCs w:val="24"/>
        </w:rPr>
        <w:t xml:space="preserve"> </w:t>
      </w:r>
      <w:r w:rsidR="00176C73" w:rsidRPr="00662BA1">
        <w:rPr>
          <w:sz w:val="24"/>
          <w:szCs w:val="24"/>
        </w:rPr>
        <w:t>There was also no mention of the purpose of the p</w:t>
      </w:r>
      <w:r w:rsidRPr="00662BA1">
        <w:rPr>
          <w:sz w:val="24"/>
          <w:szCs w:val="24"/>
        </w:rPr>
        <w:t>ayment authorization of the $64 </w:t>
      </w:r>
      <w:r w:rsidR="00176C73" w:rsidRPr="00662BA1">
        <w:rPr>
          <w:sz w:val="24"/>
          <w:szCs w:val="24"/>
        </w:rPr>
        <w:t xml:space="preserve">million odd from the defendant and his father’s Hooray account to Ms. Yu’s Hooray account. </w:t>
      </w:r>
      <w:r w:rsidRPr="00662BA1">
        <w:rPr>
          <w:sz w:val="24"/>
          <w:szCs w:val="24"/>
        </w:rPr>
        <w:t xml:space="preserve"> </w:t>
      </w:r>
      <w:r w:rsidR="00176C73" w:rsidRPr="00662BA1">
        <w:rPr>
          <w:sz w:val="24"/>
          <w:szCs w:val="24"/>
        </w:rPr>
        <w:t xml:space="preserve">I find this extremely strange. </w:t>
      </w:r>
      <w:r w:rsidRPr="00662BA1">
        <w:rPr>
          <w:sz w:val="24"/>
          <w:szCs w:val="24"/>
        </w:rPr>
        <w:t xml:space="preserve"> </w:t>
      </w:r>
      <w:r w:rsidR="00176C73" w:rsidRPr="00662BA1">
        <w:rPr>
          <w:sz w:val="24"/>
          <w:szCs w:val="24"/>
        </w:rPr>
        <w:t xml:space="preserve">The sum of money involved was huge by any account. </w:t>
      </w:r>
      <w:r w:rsidRPr="00662BA1">
        <w:rPr>
          <w:sz w:val="24"/>
          <w:szCs w:val="24"/>
        </w:rPr>
        <w:t xml:space="preserve"> </w:t>
      </w:r>
      <w:r w:rsidR="00176C73" w:rsidRPr="00662BA1">
        <w:rPr>
          <w:sz w:val="24"/>
          <w:szCs w:val="24"/>
        </w:rPr>
        <w:t xml:space="preserve">Yet the defendant and his father chose not to have a written agreement recording their arrangement. </w:t>
      </w:r>
      <w:r w:rsidRPr="00662BA1">
        <w:rPr>
          <w:sz w:val="24"/>
          <w:szCs w:val="24"/>
        </w:rPr>
        <w:t xml:space="preserve"> </w:t>
      </w:r>
      <w:r w:rsidR="00176C73" w:rsidRPr="00662BA1">
        <w:rPr>
          <w:sz w:val="24"/>
          <w:szCs w:val="24"/>
        </w:rPr>
        <w:t>Ev</w:t>
      </w:r>
      <w:r w:rsidRPr="00662BA1">
        <w:rPr>
          <w:sz w:val="24"/>
          <w:szCs w:val="24"/>
        </w:rPr>
        <w:t>en if Ms. </w:t>
      </w:r>
      <w:r w:rsidR="00176C73" w:rsidRPr="00662BA1">
        <w:rPr>
          <w:sz w:val="24"/>
          <w:szCs w:val="24"/>
        </w:rPr>
        <w:t xml:space="preserve">Yu was acting as a </w:t>
      </w:r>
      <w:proofErr w:type="spellStart"/>
      <w:r w:rsidR="00176C73" w:rsidRPr="00662BA1">
        <w:rPr>
          <w:sz w:val="24"/>
          <w:szCs w:val="24"/>
        </w:rPr>
        <w:t>confirmor</w:t>
      </w:r>
      <w:proofErr w:type="spellEnd"/>
      <w:r w:rsidR="00176C73" w:rsidRPr="00662BA1">
        <w:rPr>
          <w:sz w:val="24"/>
          <w:szCs w:val="24"/>
        </w:rPr>
        <w:t xml:space="preserve"> as the defendant said he suspected, there would have been no harm to have something written d</w:t>
      </w:r>
      <w:r w:rsidRPr="00662BA1">
        <w:rPr>
          <w:sz w:val="24"/>
          <w:szCs w:val="24"/>
        </w:rPr>
        <w:t xml:space="preserve">own to protect their interest.” </w:t>
      </w:r>
      <w:r w:rsidR="00176C73" w:rsidRPr="00662BA1">
        <w:rPr>
          <w:sz w:val="24"/>
          <w:szCs w:val="24"/>
        </w:rPr>
        <w:t xml:space="preserve"> [Italics added.]</w:t>
      </w:r>
    </w:p>
    <w:p w:rsidR="009D158D" w:rsidRPr="00662BA1" w:rsidRDefault="009D158D" w:rsidP="009D158D">
      <w:pPr>
        <w:pStyle w:val="ListParagraph"/>
        <w:tabs>
          <w:tab w:val="clear" w:pos="1440"/>
          <w:tab w:val="clear" w:pos="4320"/>
          <w:tab w:val="clear" w:pos="9072"/>
          <w:tab w:val="left" w:pos="2074"/>
        </w:tabs>
        <w:snapToGrid/>
        <w:spacing w:line="80" w:lineRule="exact"/>
        <w:ind w:left="1454" w:right="835" w:hanging="187"/>
        <w:jc w:val="both"/>
        <w:rPr>
          <w:sz w:val="24"/>
          <w:szCs w:val="24"/>
        </w:rPr>
      </w:pPr>
    </w:p>
    <w:p w:rsidR="00176C73" w:rsidRPr="00662BA1" w:rsidRDefault="00176C73" w:rsidP="009D158D">
      <w:pPr>
        <w:pStyle w:val="ListParagraph"/>
        <w:tabs>
          <w:tab w:val="clear" w:pos="1440"/>
          <w:tab w:val="clear" w:pos="4320"/>
          <w:tab w:val="clear" w:pos="9072"/>
          <w:tab w:val="left" w:pos="2074"/>
        </w:tabs>
        <w:snapToGrid/>
        <w:spacing w:line="80" w:lineRule="exact"/>
        <w:ind w:left="1454" w:right="835" w:hanging="187"/>
        <w:jc w:val="both"/>
      </w:pPr>
    </w:p>
    <w:p w:rsidR="009D158D" w:rsidRPr="00662BA1" w:rsidRDefault="00052537" w:rsidP="009D158D">
      <w:pPr>
        <w:tabs>
          <w:tab w:val="clear" w:pos="4320"/>
          <w:tab w:val="clear" w:pos="9072"/>
        </w:tabs>
        <w:snapToGrid/>
        <w:spacing w:before="360" w:line="360" w:lineRule="auto"/>
        <w:jc w:val="both"/>
        <w:rPr>
          <w:szCs w:val="28"/>
        </w:rPr>
      </w:pPr>
      <w:r w:rsidRPr="00662BA1">
        <w:fldChar w:fldCharType="begin"/>
      </w:r>
      <w:r w:rsidR="009D158D" w:rsidRPr="00662BA1">
        <w:instrText xml:space="preserve"> AUTONUMOUT  </w:instrText>
      </w:r>
      <w:r w:rsidRPr="00662BA1">
        <w:fldChar w:fldCharType="end"/>
      </w:r>
      <w:r w:rsidR="009D158D" w:rsidRPr="00662BA1">
        <w:tab/>
      </w:r>
      <w:r w:rsidR="00176C73" w:rsidRPr="00662BA1">
        <w:t>The judge was entitled to find that the authorisations that the applicant and his father each gave to an officer of Hooray Securities to tr</w:t>
      </w:r>
      <w:r w:rsidR="00F90AAC">
        <w:t>ansfer $50,325,000 and $14,025,</w:t>
      </w:r>
      <w:r w:rsidR="00176C73" w:rsidRPr="00662BA1">
        <w:t>000 from their accounts to the stipulated account in the name of</w:t>
      </w:r>
      <w:r w:rsidR="00176C73" w:rsidRPr="00662BA1">
        <w:rPr>
          <w:szCs w:val="28"/>
        </w:rPr>
        <w:t xml:space="preserve"> Ms</w:t>
      </w:r>
      <w:proofErr w:type="gramStart"/>
      <w:r w:rsidR="009D158D" w:rsidRPr="00662BA1">
        <w:rPr>
          <w:szCs w:val="28"/>
        </w:rPr>
        <w:t>  </w:t>
      </w:r>
      <w:r w:rsidR="00176C73" w:rsidRPr="00662BA1">
        <w:rPr>
          <w:szCs w:val="28"/>
        </w:rPr>
        <w:t>Yu</w:t>
      </w:r>
      <w:proofErr w:type="gramEnd"/>
      <w:r w:rsidR="00176C73" w:rsidRPr="00662BA1">
        <w:rPr>
          <w:szCs w:val="28"/>
        </w:rPr>
        <w:t xml:space="preserve"> Xiao Mei </w:t>
      </w:r>
      <w:r w:rsidR="009D158D" w:rsidRPr="00662BA1">
        <w:rPr>
          <w:szCs w:val="28"/>
        </w:rPr>
        <w:t>with Hooray Securities did not “</w:t>
      </w:r>
      <w:r w:rsidR="00176C73" w:rsidRPr="00662BA1">
        <w:rPr>
          <w:szCs w:val="28"/>
        </w:rPr>
        <w:t>even hint at the existence of such a</w:t>
      </w:r>
      <w:r w:rsidR="009D158D" w:rsidRPr="00662BA1">
        <w:rPr>
          <w:szCs w:val="28"/>
        </w:rPr>
        <w:t>n arrangement”</w:t>
      </w:r>
      <w:r w:rsidR="00176C73" w:rsidRPr="00662BA1">
        <w:rPr>
          <w:szCs w:val="28"/>
        </w:rPr>
        <w:t xml:space="preserve">, </w:t>
      </w:r>
      <w:r w:rsidR="009D158D" w:rsidRPr="00662BA1">
        <w:rPr>
          <w:szCs w:val="28"/>
        </w:rPr>
        <w:t>namely an agreement to buy 30.5 million and 8.5 </w:t>
      </w:r>
      <w:r w:rsidR="00176C73" w:rsidRPr="00662BA1">
        <w:rPr>
          <w:szCs w:val="28"/>
        </w:rPr>
        <w:t xml:space="preserve">million Gold </w:t>
      </w:r>
      <w:proofErr w:type="spellStart"/>
      <w:r w:rsidR="00176C73" w:rsidRPr="00662BA1">
        <w:rPr>
          <w:szCs w:val="28"/>
        </w:rPr>
        <w:t>Wo</w:t>
      </w:r>
      <w:proofErr w:type="spellEnd"/>
      <w:r w:rsidR="00176C73" w:rsidRPr="00662BA1">
        <w:rPr>
          <w:szCs w:val="28"/>
        </w:rPr>
        <w:t xml:space="preserve"> shares at $1.20 per share. </w:t>
      </w:r>
      <w:r w:rsidR="009D158D" w:rsidRPr="00662BA1">
        <w:rPr>
          <w:szCs w:val="28"/>
        </w:rPr>
        <w:t xml:space="preserve"> </w:t>
      </w:r>
      <w:r w:rsidR="00176C73" w:rsidRPr="00662BA1">
        <w:rPr>
          <w:szCs w:val="28"/>
        </w:rPr>
        <w:t>There was no mention whatsoever of any such agreement in respect of the sale of the shares, let alone of the alleged role of Ms</w:t>
      </w:r>
      <w:r w:rsidR="009D158D" w:rsidRPr="00662BA1">
        <w:rPr>
          <w:szCs w:val="28"/>
        </w:rPr>
        <w:t> </w:t>
      </w:r>
      <w:r w:rsidR="00176C73" w:rsidRPr="00662BA1">
        <w:rPr>
          <w:szCs w:val="28"/>
        </w:rPr>
        <w:t>Yu Xiao Mei.</w:t>
      </w:r>
      <w:r w:rsidR="009D158D" w:rsidRPr="00662BA1">
        <w:rPr>
          <w:szCs w:val="28"/>
        </w:rPr>
        <w:t xml:space="preserve"> </w:t>
      </w:r>
      <w:r w:rsidR="00176C73" w:rsidRPr="00662BA1">
        <w:rPr>
          <w:szCs w:val="28"/>
        </w:rPr>
        <w:t xml:space="preserve"> The authorisations merely stipulated payments of sums of money to her account without condescending to any explanation whatsoever as to the reasons for such payments.</w:t>
      </w:r>
    </w:p>
    <w:p w:rsidR="00176C73" w:rsidRDefault="00052537" w:rsidP="009D158D">
      <w:pPr>
        <w:tabs>
          <w:tab w:val="clear" w:pos="4320"/>
          <w:tab w:val="clear" w:pos="9072"/>
        </w:tabs>
        <w:snapToGrid/>
        <w:spacing w:before="360" w:line="360" w:lineRule="auto"/>
        <w:jc w:val="both"/>
      </w:pPr>
      <w:r w:rsidRPr="00662BA1">
        <w:rPr>
          <w:szCs w:val="28"/>
        </w:rPr>
        <w:fldChar w:fldCharType="begin"/>
      </w:r>
      <w:r w:rsidR="009D158D" w:rsidRPr="00662BA1">
        <w:rPr>
          <w:szCs w:val="28"/>
        </w:rPr>
        <w:instrText xml:space="preserve"> AUTONUMOUT  </w:instrText>
      </w:r>
      <w:r w:rsidRPr="00662BA1">
        <w:rPr>
          <w:szCs w:val="28"/>
        </w:rPr>
        <w:fldChar w:fldCharType="end"/>
      </w:r>
      <w:r w:rsidR="009D158D" w:rsidRPr="00662BA1">
        <w:rPr>
          <w:szCs w:val="28"/>
        </w:rPr>
        <w:tab/>
      </w:r>
      <w:r w:rsidR="00176C73" w:rsidRPr="00662BA1">
        <w:t>In the result, the judge said:</w:t>
      </w:r>
      <w:r w:rsidR="00176C73" w:rsidRPr="00662BA1">
        <w:rPr>
          <w:rStyle w:val="FootnoteReference"/>
        </w:rPr>
        <w:footnoteReference w:id="179"/>
      </w:r>
      <w:r w:rsidR="00176C73" w:rsidRPr="00662BA1">
        <w:t xml:space="preserve"> </w:t>
      </w:r>
    </w:p>
    <w:p w:rsidR="00124FCD" w:rsidRDefault="00124FCD" w:rsidP="00124FCD">
      <w:pPr>
        <w:pStyle w:val="ListParagraph"/>
        <w:tabs>
          <w:tab w:val="clear" w:pos="4320"/>
          <w:tab w:val="clear" w:pos="9072"/>
          <w:tab w:val="left" w:pos="2074"/>
        </w:tabs>
        <w:snapToGrid/>
        <w:spacing w:before="240"/>
        <w:ind w:left="1440" w:right="746" w:hanging="173"/>
        <w:contextualSpacing w:val="0"/>
        <w:jc w:val="both"/>
        <w:rPr>
          <w:sz w:val="24"/>
          <w:szCs w:val="28"/>
        </w:rPr>
      </w:pPr>
      <w:r w:rsidRPr="00124FCD">
        <w:rPr>
          <w:sz w:val="24"/>
          <w:szCs w:val="24"/>
        </w:rPr>
        <w:t>“</w:t>
      </w:r>
      <w:r w:rsidRPr="00124FCD">
        <w:rPr>
          <w:sz w:val="24"/>
          <w:szCs w:val="24"/>
        </w:rPr>
        <w:tab/>
        <w:t>I find that the irresistible inference from the parties’ choice to not have any written agreement is that they did not want Ms. Yu’s involvement to be known.  I do not know why the concealment was necessary and cannot speculate, but I do find that any right thinking member of the community looking at this dealing between the defendant, his father and Ms. Yu would have reasonable grounds to believe that the money involved in the transactions represented wholly or in part directly or indirectly proceeds of an indictable offence.”</w:t>
      </w:r>
      <w:r w:rsidRPr="00124FCD">
        <w:rPr>
          <w:sz w:val="24"/>
          <w:szCs w:val="28"/>
        </w:rPr>
        <w:t xml:space="preserve">   </w:t>
      </w:r>
    </w:p>
    <w:p w:rsidR="00124FCD" w:rsidRDefault="00124FCD" w:rsidP="00124FCD">
      <w:pPr>
        <w:pStyle w:val="ListParagraph"/>
        <w:tabs>
          <w:tab w:val="clear" w:pos="4320"/>
          <w:tab w:val="clear" w:pos="9072"/>
          <w:tab w:val="left" w:pos="2074"/>
        </w:tabs>
        <w:snapToGrid/>
        <w:spacing w:line="80" w:lineRule="exact"/>
        <w:ind w:left="1454" w:right="835" w:hanging="187"/>
        <w:contextualSpacing w:val="0"/>
        <w:jc w:val="both"/>
        <w:rPr>
          <w:sz w:val="24"/>
          <w:szCs w:val="28"/>
        </w:rPr>
      </w:pPr>
    </w:p>
    <w:p w:rsidR="00124FCD" w:rsidRPr="00124FCD" w:rsidRDefault="00124FCD" w:rsidP="00124FCD">
      <w:pPr>
        <w:pStyle w:val="ListParagraph"/>
        <w:tabs>
          <w:tab w:val="clear" w:pos="4320"/>
          <w:tab w:val="clear" w:pos="9072"/>
          <w:tab w:val="left" w:pos="2074"/>
        </w:tabs>
        <w:snapToGrid/>
        <w:spacing w:line="80" w:lineRule="exact"/>
        <w:ind w:left="1454" w:right="835" w:hanging="187"/>
        <w:contextualSpacing w:val="0"/>
        <w:jc w:val="both"/>
        <w:rPr>
          <w:sz w:val="24"/>
          <w:szCs w:val="28"/>
        </w:rPr>
      </w:pPr>
      <w:r w:rsidRPr="00124FCD">
        <w:rPr>
          <w:sz w:val="24"/>
          <w:szCs w:val="28"/>
        </w:rPr>
        <w:t xml:space="preserve">  </w:t>
      </w:r>
    </w:p>
    <w:p w:rsidR="009D158D" w:rsidRPr="00662BA1" w:rsidRDefault="00052537" w:rsidP="00124FCD">
      <w:pPr>
        <w:pStyle w:val="ListParagraph"/>
        <w:tabs>
          <w:tab w:val="clear" w:pos="4320"/>
          <w:tab w:val="clear" w:pos="9072"/>
          <w:tab w:val="left" w:pos="2074"/>
        </w:tabs>
        <w:snapToGrid/>
        <w:spacing w:before="360" w:line="360" w:lineRule="auto"/>
        <w:ind w:left="0"/>
        <w:contextualSpacing w:val="0"/>
        <w:jc w:val="both"/>
        <w:rPr>
          <w:szCs w:val="28"/>
        </w:rPr>
      </w:pPr>
      <w:r>
        <w:rPr>
          <w:szCs w:val="28"/>
        </w:rPr>
        <w:fldChar w:fldCharType="begin"/>
      </w:r>
      <w:r w:rsidR="00124FCD">
        <w:rPr>
          <w:szCs w:val="28"/>
        </w:rPr>
        <w:instrText xml:space="preserve"> AUTONUMOUT  </w:instrText>
      </w:r>
      <w:r>
        <w:rPr>
          <w:szCs w:val="28"/>
        </w:rPr>
        <w:fldChar w:fldCharType="end"/>
      </w:r>
      <w:r w:rsidR="00124FCD">
        <w:rPr>
          <w:szCs w:val="28"/>
        </w:rPr>
        <w:tab/>
      </w:r>
      <w:r w:rsidR="00176C73" w:rsidRPr="00662BA1">
        <w:rPr>
          <w:szCs w:val="28"/>
        </w:rPr>
        <w:t>In his consideration of th</w:t>
      </w:r>
      <w:r w:rsidR="009D158D" w:rsidRPr="00662BA1">
        <w:rPr>
          <w:szCs w:val="28"/>
        </w:rPr>
        <w:t>e verdicts in respect of Charge </w:t>
      </w:r>
      <w:r w:rsidR="00176C73" w:rsidRPr="00662BA1">
        <w:rPr>
          <w:szCs w:val="28"/>
        </w:rPr>
        <w:t>1 and Charge 5, the judge referred specifically to the two sums of money deposited into the respective bank accounts of the applicant and his father, namely $37,529,524 and $10,459,048, from Hooray Securities.</w:t>
      </w:r>
      <w:r w:rsidR="00176C73" w:rsidRPr="00662BA1">
        <w:rPr>
          <w:rStyle w:val="FootnoteReference"/>
          <w:szCs w:val="28"/>
        </w:rPr>
        <w:footnoteReference w:id="180"/>
      </w:r>
      <w:r w:rsidR="00176C73" w:rsidRPr="00662BA1">
        <w:rPr>
          <w:szCs w:val="28"/>
        </w:rPr>
        <w:t xml:space="preserve"> </w:t>
      </w:r>
      <w:r w:rsidR="009D158D" w:rsidRPr="00662BA1">
        <w:rPr>
          <w:szCs w:val="28"/>
        </w:rPr>
        <w:t xml:space="preserve"> </w:t>
      </w:r>
      <w:r w:rsidR="00176C73" w:rsidRPr="00662BA1">
        <w:rPr>
          <w:szCs w:val="28"/>
        </w:rPr>
        <w:t>Clearly, in his consideration of the applicant’s impugned dealings with monies in the five bank accounts the judge was focusing his attention properly on the deposits made into those accounts.</w:t>
      </w:r>
      <w:r w:rsidR="009D158D" w:rsidRPr="00662BA1">
        <w:rPr>
          <w:szCs w:val="28"/>
        </w:rPr>
        <w:t xml:space="preserve"> </w:t>
      </w:r>
      <w:r w:rsidR="00176C73" w:rsidRPr="00662BA1">
        <w:rPr>
          <w:szCs w:val="28"/>
        </w:rPr>
        <w:t xml:space="preserve"> There is no merit whatsoever in the suggestion that the judge f</w:t>
      </w:r>
      <w:r w:rsidR="009D158D" w:rsidRPr="00662BA1">
        <w:rPr>
          <w:szCs w:val="28"/>
        </w:rPr>
        <w:t>ound that the monies paid to Ms </w:t>
      </w:r>
      <w:r w:rsidR="00176C73" w:rsidRPr="00662BA1">
        <w:rPr>
          <w:szCs w:val="28"/>
        </w:rPr>
        <w:t xml:space="preserve">Yu Xiao Mei were intended for future criminal activity or conduct. </w:t>
      </w:r>
    </w:p>
    <w:p w:rsidR="00511B88" w:rsidRDefault="00052537" w:rsidP="009D158D">
      <w:pPr>
        <w:pStyle w:val="ListParagraph"/>
        <w:tabs>
          <w:tab w:val="clear" w:pos="4320"/>
          <w:tab w:val="clear" w:pos="9072"/>
        </w:tabs>
        <w:snapToGrid/>
        <w:spacing w:before="360" w:line="360" w:lineRule="auto"/>
        <w:ind w:left="0"/>
        <w:contextualSpacing w:val="0"/>
        <w:jc w:val="both"/>
        <w:rPr>
          <w:szCs w:val="28"/>
        </w:rPr>
      </w:pPr>
      <w:r w:rsidRPr="00662BA1">
        <w:rPr>
          <w:szCs w:val="28"/>
        </w:rPr>
        <w:fldChar w:fldCharType="begin"/>
      </w:r>
      <w:r w:rsidR="009D158D" w:rsidRPr="00662BA1">
        <w:rPr>
          <w:szCs w:val="28"/>
        </w:rPr>
        <w:instrText xml:space="preserve"> AUTONUMOUT  </w:instrText>
      </w:r>
      <w:r w:rsidRPr="00662BA1">
        <w:rPr>
          <w:szCs w:val="28"/>
        </w:rPr>
        <w:fldChar w:fldCharType="end"/>
      </w:r>
      <w:r w:rsidR="009D158D" w:rsidRPr="00662BA1">
        <w:rPr>
          <w:szCs w:val="28"/>
        </w:rPr>
        <w:tab/>
      </w:r>
      <w:r w:rsidR="00176C73" w:rsidRPr="00662BA1">
        <w:rPr>
          <w:szCs w:val="28"/>
        </w:rPr>
        <w:t>In the context</w:t>
      </w:r>
      <w:r w:rsidR="009D158D" w:rsidRPr="00662BA1">
        <w:rPr>
          <w:szCs w:val="28"/>
        </w:rPr>
        <w:t xml:space="preserve"> of his consideration of Charge </w:t>
      </w:r>
      <w:r w:rsidR="00176C73" w:rsidRPr="00662BA1">
        <w:rPr>
          <w:szCs w:val="28"/>
        </w:rPr>
        <w:t xml:space="preserve">1, the judge reiterated his finding that the identity of </w:t>
      </w:r>
      <w:r w:rsidR="009D158D" w:rsidRPr="00662BA1">
        <w:rPr>
          <w:szCs w:val="28"/>
        </w:rPr>
        <w:t>Ms </w:t>
      </w:r>
      <w:r w:rsidR="00176C73" w:rsidRPr="00662BA1">
        <w:rPr>
          <w:szCs w:val="28"/>
        </w:rPr>
        <w:t xml:space="preserve">Yu Xiao Mei had been concealed in the dealings with her in Gold </w:t>
      </w:r>
      <w:proofErr w:type="spellStart"/>
      <w:r w:rsidR="00176C73" w:rsidRPr="00662BA1">
        <w:rPr>
          <w:szCs w:val="28"/>
        </w:rPr>
        <w:t>Wo</w:t>
      </w:r>
      <w:proofErr w:type="spellEnd"/>
      <w:r w:rsidR="00176C73" w:rsidRPr="00662BA1">
        <w:rPr>
          <w:szCs w:val="28"/>
        </w:rPr>
        <w:t xml:space="preserve"> shares.</w:t>
      </w:r>
      <w:r w:rsidR="00176C73" w:rsidRPr="00662BA1">
        <w:rPr>
          <w:rStyle w:val="FootnoteReference"/>
          <w:szCs w:val="28"/>
        </w:rPr>
        <w:footnoteReference w:id="181"/>
      </w:r>
      <w:r w:rsidR="00176C73" w:rsidRPr="00662BA1">
        <w:rPr>
          <w:szCs w:val="28"/>
        </w:rPr>
        <w:t xml:space="preserve"> </w:t>
      </w:r>
      <w:r w:rsidR="009D158D" w:rsidRPr="00662BA1">
        <w:rPr>
          <w:szCs w:val="28"/>
        </w:rPr>
        <w:t xml:space="preserve"> </w:t>
      </w:r>
      <w:r w:rsidR="00176C73" w:rsidRPr="00662BA1">
        <w:rPr>
          <w:szCs w:val="28"/>
        </w:rPr>
        <w:t>In determining that the applicant had reasonable grounds to believe tha</w:t>
      </w:r>
      <w:r w:rsidR="009652D9">
        <w:rPr>
          <w:szCs w:val="28"/>
        </w:rPr>
        <w:t>t monies deposited into A</w:t>
      </w:r>
      <w:r w:rsidR="009D158D" w:rsidRPr="00662BA1">
        <w:rPr>
          <w:szCs w:val="28"/>
        </w:rPr>
        <w:t>ccount </w:t>
      </w:r>
      <w:r w:rsidR="00176C73" w:rsidRPr="00662BA1">
        <w:rPr>
          <w:szCs w:val="28"/>
        </w:rPr>
        <w:t>A were the proceeds of an indictable offence, the judge said that in making the determin</w:t>
      </w:r>
      <w:r w:rsidR="009D158D" w:rsidRPr="00662BA1">
        <w:rPr>
          <w:szCs w:val="28"/>
        </w:rPr>
        <w:t>ation regard was to be had to “</w:t>
      </w:r>
      <w:r w:rsidR="00176C73" w:rsidRPr="00662BA1">
        <w:rPr>
          <w:szCs w:val="28"/>
        </w:rPr>
        <w:t>t</w:t>
      </w:r>
      <w:r w:rsidR="009D158D" w:rsidRPr="00662BA1">
        <w:rPr>
          <w:szCs w:val="28"/>
        </w:rPr>
        <w:t>he movement of funds in Account </w:t>
      </w:r>
      <w:r w:rsidR="00176C73" w:rsidRPr="00662BA1">
        <w:rPr>
          <w:szCs w:val="28"/>
        </w:rPr>
        <w:t>A and all the surroundin</w:t>
      </w:r>
      <w:r w:rsidR="009D158D" w:rsidRPr="00662BA1">
        <w:rPr>
          <w:szCs w:val="28"/>
        </w:rPr>
        <w:t>g circumstances mentioned above”</w:t>
      </w:r>
      <w:r w:rsidR="00176C73" w:rsidRPr="00662BA1">
        <w:rPr>
          <w:szCs w:val="28"/>
        </w:rPr>
        <w:t>.</w:t>
      </w:r>
      <w:r w:rsidR="00176C73" w:rsidRPr="00662BA1">
        <w:rPr>
          <w:rStyle w:val="FootnoteReference"/>
          <w:szCs w:val="28"/>
        </w:rPr>
        <w:footnoteReference w:id="182"/>
      </w:r>
      <w:r w:rsidR="00176C73" w:rsidRPr="00662BA1">
        <w:rPr>
          <w:szCs w:val="28"/>
        </w:rPr>
        <w:t xml:space="preserve"> </w:t>
      </w:r>
      <w:r w:rsidR="009D158D" w:rsidRPr="00662BA1">
        <w:rPr>
          <w:szCs w:val="28"/>
        </w:rPr>
        <w:t xml:space="preserve"> </w:t>
      </w:r>
      <w:r w:rsidR="00176C73" w:rsidRPr="00662BA1">
        <w:rPr>
          <w:szCs w:val="28"/>
        </w:rPr>
        <w:t xml:space="preserve">Obviously, that included a consideration of the evidence of the sale of the Gold </w:t>
      </w:r>
      <w:proofErr w:type="spellStart"/>
      <w:r w:rsidR="00176C73" w:rsidRPr="00662BA1">
        <w:rPr>
          <w:szCs w:val="28"/>
        </w:rPr>
        <w:t>Wo</w:t>
      </w:r>
      <w:proofErr w:type="spellEnd"/>
      <w:r w:rsidR="00176C73" w:rsidRPr="00662BA1">
        <w:rPr>
          <w:szCs w:val="28"/>
        </w:rPr>
        <w:t xml:space="preserve"> shares at a huge discount to market price, in the context of an absence of any documentation detailing the alleged agreement between the parties. </w:t>
      </w:r>
    </w:p>
    <w:p w:rsidR="00511B88" w:rsidRDefault="00511B88" w:rsidP="00511B88">
      <w:pPr>
        <w:tabs>
          <w:tab w:val="clear" w:pos="4320"/>
          <w:tab w:val="clear" w:pos="9072"/>
        </w:tabs>
        <w:snapToGrid/>
        <w:spacing w:before="360" w:line="360" w:lineRule="auto"/>
        <w:jc w:val="both"/>
        <w:rPr>
          <w:szCs w:val="28"/>
        </w:rPr>
      </w:pPr>
      <w:r>
        <w:rPr>
          <w:szCs w:val="28"/>
        </w:rPr>
        <w:br w:type="page"/>
      </w:r>
      <w:r w:rsidR="00052537">
        <w:rPr>
          <w:szCs w:val="28"/>
        </w:rPr>
        <w:fldChar w:fldCharType="begin"/>
      </w:r>
      <w:r>
        <w:rPr>
          <w:szCs w:val="28"/>
        </w:rPr>
        <w:instrText xml:space="preserve"> AUTONUMOUT  </w:instrText>
      </w:r>
      <w:r w:rsidR="00052537">
        <w:rPr>
          <w:szCs w:val="28"/>
        </w:rPr>
        <w:fldChar w:fldCharType="end"/>
      </w:r>
      <w:r>
        <w:rPr>
          <w:szCs w:val="28"/>
        </w:rPr>
        <w:tab/>
      </w:r>
      <w:r w:rsidR="00176C73" w:rsidRPr="00662BA1">
        <w:rPr>
          <w:szCs w:val="28"/>
        </w:rPr>
        <w:t>We are satisfied that there was cogent evidence on which the judge was entitled to make those findings.</w:t>
      </w:r>
    </w:p>
    <w:p w:rsidR="009D158D" w:rsidRPr="00662BA1" w:rsidRDefault="00176C73" w:rsidP="009D158D">
      <w:pPr>
        <w:pStyle w:val="ListParagraph"/>
        <w:tabs>
          <w:tab w:val="clear" w:pos="4320"/>
          <w:tab w:val="clear" w:pos="9072"/>
        </w:tabs>
        <w:snapToGrid/>
        <w:spacing w:before="360" w:line="360" w:lineRule="auto"/>
        <w:ind w:left="0"/>
        <w:contextualSpacing w:val="0"/>
        <w:jc w:val="both"/>
        <w:rPr>
          <w:i/>
          <w:szCs w:val="28"/>
        </w:rPr>
      </w:pPr>
      <w:r w:rsidRPr="00662BA1">
        <w:rPr>
          <w:i/>
          <w:szCs w:val="28"/>
        </w:rPr>
        <w:t xml:space="preserve">The SJM </w:t>
      </w:r>
      <w:r w:rsidR="00D45ADD" w:rsidRPr="00662BA1">
        <w:rPr>
          <w:i/>
          <w:szCs w:val="28"/>
        </w:rPr>
        <w:t>c</w:t>
      </w:r>
      <w:r w:rsidRPr="00662BA1">
        <w:rPr>
          <w:i/>
          <w:szCs w:val="28"/>
        </w:rPr>
        <w:t xml:space="preserve">ash </w:t>
      </w:r>
      <w:r w:rsidR="00D45ADD" w:rsidRPr="00662BA1">
        <w:rPr>
          <w:i/>
          <w:szCs w:val="28"/>
        </w:rPr>
        <w:t>c</w:t>
      </w:r>
      <w:r w:rsidRPr="00662BA1">
        <w:rPr>
          <w:i/>
          <w:szCs w:val="28"/>
        </w:rPr>
        <w:t>heques</w:t>
      </w:r>
    </w:p>
    <w:p w:rsidR="008C359F" w:rsidRPr="00662BA1" w:rsidRDefault="00052537" w:rsidP="008C359F">
      <w:pPr>
        <w:pStyle w:val="ListParagraph"/>
        <w:tabs>
          <w:tab w:val="clear" w:pos="4320"/>
          <w:tab w:val="clear" w:pos="9072"/>
        </w:tabs>
        <w:snapToGrid/>
        <w:spacing w:before="360" w:line="360" w:lineRule="auto"/>
        <w:ind w:left="0"/>
        <w:contextualSpacing w:val="0"/>
        <w:jc w:val="both"/>
        <w:rPr>
          <w:szCs w:val="28"/>
        </w:rPr>
      </w:pPr>
      <w:r w:rsidRPr="00662BA1">
        <w:rPr>
          <w:szCs w:val="28"/>
        </w:rPr>
        <w:fldChar w:fldCharType="begin"/>
      </w:r>
      <w:r w:rsidR="009D158D" w:rsidRPr="00662BA1">
        <w:rPr>
          <w:szCs w:val="28"/>
        </w:rPr>
        <w:instrText xml:space="preserve"> AUTONUMOUT  </w:instrText>
      </w:r>
      <w:r w:rsidRPr="00662BA1">
        <w:rPr>
          <w:szCs w:val="28"/>
        </w:rPr>
        <w:fldChar w:fldCharType="end"/>
      </w:r>
      <w:r w:rsidR="009D158D" w:rsidRPr="00662BA1">
        <w:rPr>
          <w:szCs w:val="28"/>
        </w:rPr>
        <w:tab/>
      </w:r>
      <w:r w:rsidR="00176C73" w:rsidRPr="00662BA1">
        <w:rPr>
          <w:szCs w:val="28"/>
        </w:rPr>
        <w:t>As the judge noted, the prosecution pointed to 10 cash cheques drawn on the bank account of SJM wh</w:t>
      </w:r>
      <w:r w:rsidR="008C359F" w:rsidRPr="00662BA1">
        <w:rPr>
          <w:szCs w:val="28"/>
        </w:rPr>
        <w:t>ich were deposited into Account </w:t>
      </w:r>
      <w:proofErr w:type="gramStart"/>
      <w:r w:rsidR="00176C73" w:rsidRPr="00662BA1">
        <w:rPr>
          <w:szCs w:val="28"/>
        </w:rPr>
        <w:t>A</w:t>
      </w:r>
      <w:proofErr w:type="gramEnd"/>
      <w:r w:rsidR="008C359F" w:rsidRPr="00662BA1">
        <w:rPr>
          <w:szCs w:val="28"/>
        </w:rPr>
        <w:t xml:space="preserve"> (Charge </w:t>
      </w:r>
      <w:r w:rsidR="00176C73" w:rsidRPr="00662BA1">
        <w:rPr>
          <w:szCs w:val="28"/>
        </w:rPr>
        <w:t>1) in support of its case.</w:t>
      </w:r>
      <w:r w:rsidR="00176C73" w:rsidRPr="00662BA1">
        <w:rPr>
          <w:rStyle w:val="FootnoteReference"/>
          <w:szCs w:val="28"/>
        </w:rPr>
        <w:footnoteReference w:id="183"/>
      </w:r>
      <w:r w:rsidR="008C359F" w:rsidRPr="00662BA1">
        <w:rPr>
          <w:szCs w:val="28"/>
        </w:rPr>
        <w:t xml:space="preserve">  </w:t>
      </w:r>
      <w:r w:rsidR="00176C73" w:rsidRPr="00662BA1">
        <w:rPr>
          <w:szCs w:val="28"/>
        </w:rPr>
        <w:t>The applicant testified that the cheques were his winnings from gambling.</w:t>
      </w:r>
      <w:r w:rsidR="00176C73" w:rsidRPr="00662BA1">
        <w:rPr>
          <w:rStyle w:val="FootnoteReference"/>
          <w:szCs w:val="28"/>
        </w:rPr>
        <w:footnoteReference w:id="184"/>
      </w:r>
      <w:r w:rsidR="00176C73" w:rsidRPr="00662BA1">
        <w:rPr>
          <w:szCs w:val="28"/>
        </w:rPr>
        <w:t xml:space="preserve"> </w:t>
      </w:r>
      <w:r w:rsidR="008C359F" w:rsidRPr="00662BA1">
        <w:rPr>
          <w:szCs w:val="28"/>
        </w:rPr>
        <w:t xml:space="preserve"> </w:t>
      </w:r>
      <w:r w:rsidR="00176C73" w:rsidRPr="00662BA1">
        <w:rPr>
          <w:szCs w:val="28"/>
        </w:rPr>
        <w:t>The cheques, to a total value of the $62,450,000, were dated on various dates in the period on and between 22 December 2004 and 14 January 2005 and were deposited into that account on and between 28 December 2004 and 14 January 2005.</w:t>
      </w:r>
    </w:p>
    <w:p w:rsidR="008C359F" w:rsidRPr="00662BA1" w:rsidRDefault="00052537" w:rsidP="008C359F">
      <w:pPr>
        <w:pStyle w:val="ListParagraph"/>
        <w:tabs>
          <w:tab w:val="clear" w:pos="4320"/>
          <w:tab w:val="clear" w:pos="9072"/>
        </w:tabs>
        <w:snapToGrid/>
        <w:spacing w:before="360" w:line="360" w:lineRule="auto"/>
        <w:ind w:left="0"/>
        <w:contextualSpacing w:val="0"/>
        <w:jc w:val="both"/>
      </w:pPr>
      <w:r w:rsidRPr="00662BA1">
        <w:rPr>
          <w:szCs w:val="28"/>
        </w:rPr>
        <w:fldChar w:fldCharType="begin"/>
      </w:r>
      <w:r w:rsidR="008C359F" w:rsidRPr="00662BA1">
        <w:rPr>
          <w:szCs w:val="28"/>
        </w:rPr>
        <w:instrText xml:space="preserve"> AUTONUMOUT  </w:instrText>
      </w:r>
      <w:r w:rsidRPr="00662BA1">
        <w:rPr>
          <w:szCs w:val="28"/>
        </w:rPr>
        <w:fldChar w:fldCharType="end"/>
      </w:r>
      <w:r w:rsidR="008C359F" w:rsidRPr="00662BA1">
        <w:rPr>
          <w:szCs w:val="28"/>
        </w:rPr>
        <w:tab/>
      </w:r>
      <w:r w:rsidR="00176C73" w:rsidRPr="00662BA1">
        <w:rPr>
          <w:szCs w:val="28"/>
        </w:rPr>
        <w:t xml:space="preserve">The mere fact that the judge had found that the applicant, </w:t>
      </w:r>
      <w:r w:rsidR="008C359F" w:rsidRPr="00662BA1">
        <w:rPr>
          <w:szCs w:val="28"/>
        </w:rPr>
        <w:t>“</w:t>
      </w:r>
      <w:r w:rsidR="00176C73" w:rsidRPr="00662BA1">
        <w:t>…was an avid gambler of Baccarat in the Macau casinos</w:t>
      </w:r>
      <w:r w:rsidR="008C359F" w:rsidRPr="00662BA1">
        <w:t>” </w:t>
      </w:r>
      <w:r w:rsidR="00176C73" w:rsidRPr="00662BA1">
        <w:rPr>
          <w:rStyle w:val="FootnoteReference"/>
        </w:rPr>
        <w:footnoteReference w:id="185"/>
      </w:r>
      <w:r w:rsidR="00176C73" w:rsidRPr="00662BA1">
        <w:t xml:space="preserve"> did not preclude the judge from rejecting the applicant’s evidence that the 10 SJM cash cheques were his winnings from gambling. </w:t>
      </w:r>
      <w:r w:rsidR="008C359F" w:rsidRPr="00662BA1">
        <w:t xml:space="preserve"> </w:t>
      </w:r>
      <w:r w:rsidR="00176C73" w:rsidRPr="00662BA1">
        <w:t>In making the finding that the applicant was an avid gambler, the judge had gone on to determine that there was no admissible evid</w:t>
      </w:r>
      <w:r w:rsidR="008C359F" w:rsidRPr="00662BA1">
        <w:t>ence in the defence case as to “</w:t>
      </w:r>
      <w:r w:rsidR="00176C73" w:rsidRPr="00662BA1">
        <w:t>whether he was always winning or as to ho</w:t>
      </w:r>
      <w:r w:rsidR="008C359F" w:rsidRPr="00662BA1">
        <w:t>w much his winnings amounted to”</w:t>
      </w:r>
      <w:r w:rsidR="00176C73" w:rsidRPr="00662BA1">
        <w:t>.</w:t>
      </w:r>
    </w:p>
    <w:p w:rsidR="00176C73" w:rsidRPr="00662BA1" w:rsidRDefault="00052537" w:rsidP="008C359F">
      <w:pPr>
        <w:pStyle w:val="ListParagraph"/>
        <w:tabs>
          <w:tab w:val="clear" w:pos="4320"/>
          <w:tab w:val="clear" w:pos="9072"/>
        </w:tabs>
        <w:snapToGrid/>
        <w:spacing w:before="360" w:line="360" w:lineRule="auto"/>
        <w:ind w:left="0"/>
        <w:contextualSpacing w:val="0"/>
        <w:jc w:val="both"/>
        <w:rPr>
          <w:szCs w:val="28"/>
        </w:rPr>
      </w:pPr>
      <w:r w:rsidRPr="00662BA1">
        <w:fldChar w:fldCharType="begin"/>
      </w:r>
      <w:r w:rsidR="008C359F" w:rsidRPr="00662BA1">
        <w:instrText xml:space="preserve"> AUTONUMOUT  </w:instrText>
      </w:r>
      <w:r w:rsidRPr="00662BA1">
        <w:fldChar w:fldCharType="end"/>
      </w:r>
      <w:r w:rsidR="008C359F" w:rsidRPr="00662BA1">
        <w:tab/>
      </w:r>
      <w:r w:rsidR="00176C73" w:rsidRPr="00662BA1">
        <w:rPr>
          <w:szCs w:val="28"/>
        </w:rPr>
        <w:t xml:space="preserve">In determining that the applicant was lying in </w:t>
      </w:r>
      <w:r w:rsidR="008C359F" w:rsidRPr="00662BA1">
        <w:rPr>
          <w:szCs w:val="28"/>
        </w:rPr>
        <w:t>his testimony that the cheques “</w:t>
      </w:r>
      <w:r w:rsidR="00176C73" w:rsidRPr="00662BA1">
        <w:rPr>
          <w:szCs w:val="28"/>
        </w:rPr>
        <w:t>were all monies from his gambling winnings</w:t>
      </w:r>
      <w:r w:rsidR="008C359F" w:rsidRPr="00662BA1">
        <w:rPr>
          <w:szCs w:val="28"/>
        </w:rPr>
        <w:t>” </w:t>
      </w:r>
      <w:r w:rsidR="00176C73" w:rsidRPr="00662BA1">
        <w:rPr>
          <w:rStyle w:val="FootnoteReference"/>
          <w:szCs w:val="28"/>
        </w:rPr>
        <w:footnoteReference w:id="186"/>
      </w:r>
      <w:r w:rsidR="00176C73" w:rsidRPr="00662BA1">
        <w:rPr>
          <w:szCs w:val="28"/>
        </w:rPr>
        <w:t xml:space="preserve"> and having noted that these were the only cash cheques drawn on SJM deposited into his bank accounts, in the context that the applicant testified that he gambled frequently in the period 2004 to 2008, the judge said:</w:t>
      </w:r>
      <w:r w:rsidR="00176C73" w:rsidRPr="00662BA1">
        <w:rPr>
          <w:rStyle w:val="FootnoteReference"/>
          <w:szCs w:val="28"/>
        </w:rPr>
        <w:footnoteReference w:id="187"/>
      </w:r>
    </w:p>
    <w:p w:rsidR="008C359F" w:rsidRPr="00662BA1" w:rsidRDefault="008C359F" w:rsidP="008C359F">
      <w:pPr>
        <w:pStyle w:val="ListParagraph"/>
        <w:tabs>
          <w:tab w:val="clear" w:pos="1440"/>
          <w:tab w:val="clear" w:pos="4320"/>
          <w:tab w:val="clear" w:pos="9072"/>
          <w:tab w:val="left" w:pos="2074"/>
        </w:tabs>
        <w:snapToGrid/>
        <w:spacing w:before="240"/>
        <w:ind w:left="1454" w:right="835" w:hanging="187"/>
        <w:contextualSpacing w:val="0"/>
        <w:jc w:val="both"/>
        <w:rPr>
          <w:sz w:val="24"/>
          <w:szCs w:val="24"/>
        </w:rPr>
      </w:pPr>
      <w:r w:rsidRPr="00662BA1">
        <w:rPr>
          <w:sz w:val="24"/>
          <w:szCs w:val="24"/>
        </w:rPr>
        <w:t>“</w:t>
      </w:r>
      <w:r w:rsidRPr="00662BA1">
        <w:rPr>
          <w:sz w:val="24"/>
          <w:szCs w:val="24"/>
        </w:rPr>
        <w:tab/>
      </w:r>
      <w:r w:rsidR="00176C73" w:rsidRPr="00662BA1">
        <w:rPr>
          <w:sz w:val="24"/>
          <w:szCs w:val="24"/>
        </w:rPr>
        <w:t xml:space="preserve">Why then would there be only 10 cash checks and within such a narrow period of time? </w:t>
      </w:r>
      <w:r w:rsidRPr="00662BA1">
        <w:rPr>
          <w:sz w:val="24"/>
          <w:szCs w:val="24"/>
        </w:rPr>
        <w:t xml:space="preserve"> </w:t>
      </w:r>
      <w:r w:rsidR="00176C73" w:rsidRPr="00662BA1">
        <w:rPr>
          <w:sz w:val="24"/>
          <w:szCs w:val="24"/>
        </w:rPr>
        <w:t xml:space="preserve">If they were really winnings, and since they were the only cash checks issued by SJM, it must have been a memorable win for the defendant. </w:t>
      </w:r>
      <w:r w:rsidRPr="00662BA1">
        <w:rPr>
          <w:sz w:val="24"/>
          <w:szCs w:val="24"/>
        </w:rPr>
        <w:t xml:space="preserve"> </w:t>
      </w:r>
      <w:r w:rsidR="00176C73" w:rsidRPr="00662BA1">
        <w:rPr>
          <w:sz w:val="24"/>
          <w:szCs w:val="24"/>
        </w:rPr>
        <w:t>Yet he claimed he was not able to remember any details of how he requested the money or the circumstances that he had won so much money.</w:t>
      </w:r>
    </w:p>
    <w:p w:rsidR="008C359F" w:rsidRPr="00662BA1" w:rsidRDefault="008C359F" w:rsidP="008C359F">
      <w:pPr>
        <w:pStyle w:val="ListParagraph"/>
        <w:tabs>
          <w:tab w:val="clear" w:pos="1440"/>
          <w:tab w:val="clear" w:pos="4320"/>
          <w:tab w:val="clear" w:pos="9072"/>
          <w:tab w:val="left" w:pos="2074"/>
        </w:tabs>
        <w:snapToGrid/>
        <w:spacing w:before="240"/>
        <w:ind w:left="1454" w:right="835" w:hanging="14"/>
        <w:contextualSpacing w:val="0"/>
        <w:jc w:val="both"/>
        <w:rPr>
          <w:sz w:val="24"/>
          <w:szCs w:val="24"/>
        </w:rPr>
      </w:pPr>
      <w:r w:rsidRPr="00662BA1">
        <w:rPr>
          <w:sz w:val="24"/>
          <w:szCs w:val="24"/>
        </w:rPr>
        <w:tab/>
      </w:r>
      <w:r w:rsidR="00176C73" w:rsidRPr="00662BA1">
        <w:rPr>
          <w:sz w:val="24"/>
          <w:szCs w:val="24"/>
        </w:rPr>
        <w:t xml:space="preserve">I find that the only reason why those were the only checks from SJM despite the defendant’s alleged frequent gambling and winning and why the defendant was not able to remember any details from the win is because the defendant is not telling the truth about the circumstances surrounding the cash checks </w:t>
      </w:r>
      <w:r w:rsidRPr="00662BA1">
        <w:rPr>
          <w:sz w:val="24"/>
          <w:szCs w:val="24"/>
        </w:rPr>
        <w:t>from SJM.”</w:t>
      </w:r>
    </w:p>
    <w:p w:rsidR="008C359F" w:rsidRPr="00662BA1" w:rsidRDefault="008C359F" w:rsidP="008C359F">
      <w:pPr>
        <w:pStyle w:val="ListParagraph"/>
        <w:tabs>
          <w:tab w:val="clear" w:pos="1440"/>
          <w:tab w:val="clear" w:pos="4320"/>
          <w:tab w:val="clear" w:pos="9072"/>
          <w:tab w:val="left" w:pos="2074"/>
        </w:tabs>
        <w:snapToGrid/>
        <w:spacing w:line="80" w:lineRule="exact"/>
        <w:ind w:left="1454" w:right="835" w:hanging="187"/>
        <w:contextualSpacing w:val="0"/>
        <w:jc w:val="both"/>
        <w:rPr>
          <w:sz w:val="24"/>
          <w:szCs w:val="24"/>
        </w:rPr>
      </w:pPr>
    </w:p>
    <w:p w:rsidR="00176C73" w:rsidRPr="00662BA1" w:rsidRDefault="00176C73" w:rsidP="008C359F">
      <w:pPr>
        <w:pStyle w:val="ListParagraph"/>
        <w:tabs>
          <w:tab w:val="clear" w:pos="1440"/>
          <w:tab w:val="clear" w:pos="4320"/>
          <w:tab w:val="clear" w:pos="9072"/>
          <w:tab w:val="left" w:pos="2074"/>
        </w:tabs>
        <w:snapToGrid/>
        <w:spacing w:line="80" w:lineRule="exact"/>
        <w:ind w:left="1454" w:right="835" w:hanging="187"/>
        <w:contextualSpacing w:val="0"/>
        <w:jc w:val="both"/>
      </w:pPr>
      <w:r w:rsidRPr="00662BA1">
        <w:t xml:space="preserve">       </w:t>
      </w:r>
    </w:p>
    <w:p w:rsidR="00176C73" w:rsidRPr="00662BA1" w:rsidRDefault="00052537" w:rsidP="00522BE6">
      <w:pPr>
        <w:tabs>
          <w:tab w:val="clear" w:pos="4320"/>
          <w:tab w:val="clear" w:pos="9072"/>
        </w:tabs>
        <w:snapToGrid/>
        <w:spacing w:before="360" w:line="360" w:lineRule="auto"/>
        <w:jc w:val="both"/>
      </w:pPr>
      <w:r w:rsidRPr="00662BA1">
        <w:fldChar w:fldCharType="begin"/>
      </w:r>
      <w:r w:rsidR="008C359F" w:rsidRPr="00662BA1">
        <w:instrText xml:space="preserve"> AUTONUMOUT  </w:instrText>
      </w:r>
      <w:r w:rsidRPr="00662BA1">
        <w:fldChar w:fldCharType="end"/>
      </w:r>
      <w:r w:rsidR="008C359F" w:rsidRPr="00662BA1">
        <w:tab/>
      </w:r>
      <w:r w:rsidR="00522BE6">
        <w:t>Of the applicant’</w:t>
      </w:r>
      <w:r w:rsidR="00176C73" w:rsidRPr="00662BA1">
        <w:t xml:space="preserve">s inability to remember the details of the circumstances in which he had sought the issue of </w:t>
      </w:r>
      <w:r w:rsidR="00AE4803">
        <w:t>four</w:t>
      </w:r>
      <w:r w:rsidR="00176C73" w:rsidRPr="00662BA1">
        <w:t xml:space="preserve"> SJM cash cheques dated 22 December 2004, the judge noted earlier:</w:t>
      </w:r>
      <w:r w:rsidR="00176C73" w:rsidRPr="00662BA1">
        <w:rPr>
          <w:rStyle w:val="FootnoteReference"/>
        </w:rPr>
        <w:footnoteReference w:id="188"/>
      </w:r>
    </w:p>
    <w:p w:rsidR="00176C73" w:rsidRPr="00662BA1" w:rsidRDefault="008C359F" w:rsidP="008C359F">
      <w:pPr>
        <w:pStyle w:val="ListParagraph"/>
        <w:tabs>
          <w:tab w:val="clear" w:pos="1440"/>
          <w:tab w:val="clear" w:pos="4320"/>
          <w:tab w:val="clear" w:pos="9072"/>
        </w:tabs>
        <w:snapToGrid/>
        <w:spacing w:before="240"/>
        <w:ind w:left="1440" w:right="836" w:hanging="187"/>
        <w:jc w:val="both"/>
        <w:rPr>
          <w:sz w:val="24"/>
          <w:szCs w:val="24"/>
        </w:rPr>
      </w:pPr>
      <w:r w:rsidRPr="00662BA1">
        <w:rPr>
          <w:sz w:val="24"/>
          <w:szCs w:val="24"/>
        </w:rPr>
        <w:t>“</w:t>
      </w:r>
      <w:r w:rsidRPr="00662BA1">
        <w:rPr>
          <w:sz w:val="24"/>
          <w:szCs w:val="24"/>
        </w:rPr>
        <w:tab/>
      </w:r>
      <w:r w:rsidR="00176C73" w:rsidRPr="00662BA1">
        <w:rPr>
          <w:sz w:val="24"/>
          <w:szCs w:val="24"/>
        </w:rPr>
        <w:t xml:space="preserve">The defendant explained it was possibly because at the time of gambling he had been served by different junkets and so he might have asked for cash checks from different chip rollers. </w:t>
      </w:r>
    </w:p>
    <w:p w:rsidR="008C359F" w:rsidRPr="00662BA1" w:rsidRDefault="00176C73" w:rsidP="008C359F">
      <w:pPr>
        <w:tabs>
          <w:tab w:val="clear" w:pos="4320"/>
          <w:tab w:val="clear" w:pos="9072"/>
        </w:tabs>
        <w:spacing w:before="240"/>
        <w:ind w:left="1440" w:right="836"/>
        <w:jc w:val="both"/>
        <w:rPr>
          <w:sz w:val="24"/>
          <w:szCs w:val="24"/>
        </w:rPr>
      </w:pPr>
      <w:r w:rsidRPr="00662BA1">
        <w:rPr>
          <w:sz w:val="24"/>
          <w:szCs w:val="24"/>
        </w:rPr>
        <w:t xml:space="preserve">Mr. Reading referred to the defendant’s movement records and suggested to the defendant that he was not present when the requests for the 4 cash checks were made. </w:t>
      </w:r>
      <w:r w:rsidR="008C359F" w:rsidRPr="00662BA1">
        <w:rPr>
          <w:sz w:val="24"/>
          <w:szCs w:val="24"/>
        </w:rPr>
        <w:t xml:space="preserve"> </w:t>
      </w:r>
      <w:r w:rsidRPr="00662BA1">
        <w:rPr>
          <w:sz w:val="24"/>
          <w:szCs w:val="24"/>
        </w:rPr>
        <w:t xml:space="preserve">The defendant said there was no need for him to be present in Macau for requests to be made. </w:t>
      </w:r>
      <w:r w:rsidR="008C359F" w:rsidRPr="00662BA1">
        <w:rPr>
          <w:sz w:val="24"/>
          <w:szCs w:val="24"/>
        </w:rPr>
        <w:t xml:space="preserve"> </w:t>
      </w:r>
      <w:r w:rsidRPr="00662BA1">
        <w:rPr>
          <w:sz w:val="24"/>
          <w:szCs w:val="24"/>
        </w:rPr>
        <w:t xml:space="preserve">The defendant then said that he made phone calls to 4 different junkets and made request for the checks. </w:t>
      </w:r>
      <w:r w:rsidR="008C359F" w:rsidRPr="00662BA1">
        <w:rPr>
          <w:sz w:val="24"/>
          <w:szCs w:val="24"/>
        </w:rPr>
        <w:t xml:space="preserve"> </w:t>
      </w:r>
      <w:r w:rsidRPr="00662BA1">
        <w:rPr>
          <w:sz w:val="24"/>
          <w:szCs w:val="24"/>
        </w:rPr>
        <w:t xml:space="preserve">As it was so long ago, the defendant said he was not able to remember the details, but he thought that the gambling might have taken place earlier and he asked for the checks when he was in Hong Kong. </w:t>
      </w:r>
      <w:r w:rsidR="008C359F" w:rsidRPr="00662BA1">
        <w:rPr>
          <w:sz w:val="24"/>
          <w:szCs w:val="24"/>
        </w:rPr>
        <w:t xml:space="preserve"> </w:t>
      </w:r>
      <w:r w:rsidRPr="00662BA1">
        <w:rPr>
          <w:sz w:val="24"/>
          <w:szCs w:val="24"/>
        </w:rPr>
        <w:t>If he was in Macau, he would have collected the checks in person.</w:t>
      </w:r>
      <w:r w:rsidR="008C359F" w:rsidRPr="00662BA1">
        <w:rPr>
          <w:sz w:val="24"/>
          <w:szCs w:val="24"/>
        </w:rPr>
        <w:t>”</w:t>
      </w:r>
    </w:p>
    <w:p w:rsidR="008C359F" w:rsidRPr="00662BA1" w:rsidRDefault="008C359F" w:rsidP="008C359F">
      <w:pPr>
        <w:tabs>
          <w:tab w:val="clear" w:pos="4320"/>
          <w:tab w:val="clear" w:pos="9072"/>
        </w:tabs>
        <w:snapToGrid/>
        <w:spacing w:line="80" w:lineRule="exact"/>
        <w:ind w:left="1454" w:right="835" w:hanging="187"/>
        <w:jc w:val="both"/>
        <w:rPr>
          <w:sz w:val="24"/>
          <w:szCs w:val="24"/>
        </w:rPr>
      </w:pPr>
    </w:p>
    <w:p w:rsidR="00176C73" w:rsidRPr="00662BA1" w:rsidRDefault="00176C73" w:rsidP="008C359F">
      <w:pPr>
        <w:tabs>
          <w:tab w:val="clear" w:pos="4320"/>
          <w:tab w:val="clear" w:pos="9072"/>
        </w:tabs>
        <w:snapToGrid/>
        <w:spacing w:line="80" w:lineRule="exact"/>
        <w:ind w:left="1454" w:right="835" w:hanging="187"/>
        <w:jc w:val="both"/>
        <w:rPr>
          <w:sz w:val="24"/>
          <w:szCs w:val="24"/>
        </w:rPr>
      </w:pPr>
    </w:p>
    <w:p w:rsidR="00176C73" w:rsidRPr="00662BA1" w:rsidRDefault="00052537" w:rsidP="008C359F">
      <w:pPr>
        <w:snapToGrid/>
        <w:spacing w:before="360" w:line="360" w:lineRule="auto"/>
        <w:jc w:val="both"/>
        <w:rPr>
          <w:szCs w:val="28"/>
        </w:rPr>
      </w:pPr>
      <w:r w:rsidRPr="00662BA1">
        <w:rPr>
          <w:szCs w:val="24"/>
        </w:rPr>
        <w:fldChar w:fldCharType="begin"/>
      </w:r>
      <w:r w:rsidR="008C359F" w:rsidRPr="00662BA1">
        <w:rPr>
          <w:szCs w:val="24"/>
        </w:rPr>
        <w:instrText xml:space="preserve"> AUTONUMOUT  </w:instrText>
      </w:r>
      <w:r w:rsidRPr="00662BA1">
        <w:rPr>
          <w:szCs w:val="24"/>
        </w:rPr>
        <w:fldChar w:fldCharType="end"/>
      </w:r>
      <w:r w:rsidR="008C359F" w:rsidRPr="00662BA1">
        <w:rPr>
          <w:szCs w:val="24"/>
        </w:rPr>
        <w:tab/>
      </w:r>
      <w:r w:rsidR="00176C73" w:rsidRPr="00662BA1">
        <w:rPr>
          <w:szCs w:val="28"/>
        </w:rPr>
        <w:t>Furthermore, in the context of the absence of the deposit of other SJM cash cheques paid into the bank accounts of the applicant, other than in the few weeks at the end of December 2004 and early January 2005, notwithstanding his evidence of having gambled in Macau in the period 2004 to 2008, the judge noted:</w:t>
      </w:r>
      <w:r w:rsidR="00176C73" w:rsidRPr="00662BA1">
        <w:rPr>
          <w:rStyle w:val="FootnoteReference"/>
          <w:szCs w:val="28"/>
        </w:rPr>
        <w:footnoteReference w:id="189"/>
      </w:r>
    </w:p>
    <w:p w:rsidR="008C359F" w:rsidRPr="00662BA1" w:rsidRDefault="008C359F" w:rsidP="008C359F">
      <w:pPr>
        <w:pStyle w:val="ListParagraph"/>
        <w:tabs>
          <w:tab w:val="clear" w:pos="1440"/>
          <w:tab w:val="clear" w:pos="4320"/>
          <w:tab w:val="clear" w:pos="9072"/>
          <w:tab w:val="left" w:pos="2074"/>
        </w:tabs>
        <w:snapToGrid/>
        <w:spacing w:before="240"/>
        <w:ind w:left="1454" w:right="835" w:hanging="187"/>
        <w:jc w:val="both"/>
        <w:rPr>
          <w:sz w:val="24"/>
          <w:szCs w:val="24"/>
        </w:rPr>
      </w:pPr>
      <w:r w:rsidRPr="00662BA1">
        <w:rPr>
          <w:sz w:val="24"/>
          <w:szCs w:val="24"/>
        </w:rPr>
        <w:t>“</w:t>
      </w:r>
      <w:r w:rsidRPr="00662BA1">
        <w:rPr>
          <w:sz w:val="24"/>
          <w:szCs w:val="24"/>
        </w:rPr>
        <w:tab/>
      </w:r>
      <w:r w:rsidR="00176C73" w:rsidRPr="00662BA1">
        <w:rPr>
          <w:sz w:val="24"/>
          <w:szCs w:val="24"/>
        </w:rPr>
        <w:t xml:space="preserve">I find the defendant’s answers in relation to why there were no other casino cash check deposits other than the 10 from SJM evasive. </w:t>
      </w:r>
      <w:r w:rsidRPr="00662BA1">
        <w:rPr>
          <w:sz w:val="24"/>
          <w:szCs w:val="24"/>
        </w:rPr>
        <w:t xml:space="preserve"> </w:t>
      </w:r>
      <w:r w:rsidR="00176C73" w:rsidRPr="00662BA1">
        <w:rPr>
          <w:sz w:val="24"/>
          <w:szCs w:val="24"/>
        </w:rPr>
        <w:t>During cross-examination on this topic, the defendant for the first time explained that some of the deposits received from individuals who were repaying his Neptune Club or Stock Code 070 returns also included his gambling winnings and so the 10 cash checks were not the</w:t>
      </w:r>
      <w:r w:rsidRPr="00662BA1">
        <w:rPr>
          <w:sz w:val="24"/>
          <w:szCs w:val="24"/>
        </w:rPr>
        <w:t xml:space="preserve"> only payments of his winnings.”</w:t>
      </w:r>
    </w:p>
    <w:p w:rsidR="008C359F" w:rsidRPr="00662BA1" w:rsidRDefault="008C359F" w:rsidP="008C359F">
      <w:pPr>
        <w:pStyle w:val="ListParagraph"/>
        <w:tabs>
          <w:tab w:val="clear" w:pos="1440"/>
          <w:tab w:val="clear" w:pos="4320"/>
          <w:tab w:val="clear" w:pos="9072"/>
          <w:tab w:val="left" w:pos="2074"/>
        </w:tabs>
        <w:snapToGrid/>
        <w:spacing w:line="80" w:lineRule="exact"/>
        <w:ind w:left="1454" w:right="835" w:hanging="187"/>
        <w:jc w:val="both"/>
        <w:rPr>
          <w:sz w:val="24"/>
          <w:szCs w:val="24"/>
        </w:rPr>
      </w:pPr>
    </w:p>
    <w:p w:rsidR="00176C73" w:rsidRPr="00662BA1" w:rsidRDefault="00176C73" w:rsidP="008C359F">
      <w:pPr>
        <w:pStyle w:val="ListParagraph"/>
        <w:tabs>
          <w:tab w:val="clear" w:pos="1440"/>
          <w:tab w:val="clear" w:pos="4320"/>
          <w:tab w:val="clear" w:pos="9072"/>
          <w:tab w:val="left" w:pos="2074"/>
        </w:tabs>
        <w:snapToGrid/>
        <w:spacing w:line="80" w:lineRule="exact"/>
        <w:ind w:left="1454" w:right="835" w:hanging="187"/>
        <w:jc w:val="both"/>
      </w:pPr>
    </w:p>
    <w:p w:rsidR="00176C73" w:rsidRPr="00662BA1" w:rsidRDefault="00052537" w:rsidP="008C359F">
      <w:pPr>
        <w:tabs>
          <w:tab w:val="clear" w:pos="4320"/>
          <w:tab w:val="clear" w:pos="9072"/>
        </w:tabs>
        <w:snapToGrid/>
        <w:spacing w:before="360" w:line="360" w:lineRule="auto"/>
        <w:jc w:val="both"/>
      </w:pPr>
      <w:r w:rsidRPr="00662BA1">
        <w:fldChar w:fldCharType="begin"/>
      </w:r>
      <w:r w:rsidR="008C359F" w:rsidRPr="00662BA1">
        <w:instrText xml:space="preserve"> AUTONUMOUT  </w:instrText>
      </w:r>
      <w:r w:rsidRPr="00662BA1">
        <w:fldChar w:fldCharType="end"/>
      </w:r>
      <w:r w:rsidR="008C359F" w:rsidRPr="00662BA1">
        <w:tab/>
      </w:r>
      <w:r w:rsidR="00176C73" w:rsidRPr="00662BA1">
        <w:t>In the result, the judge concluded:</w:t>
      </w:r>
      <w:r w:rsidR="00176C73" w:rsidRPr="00662BA1">
        <w:rPr>
          <w:rStyle w:val="FootnoteReference"/>
        </w:rPr>
        <w:footnoteReference w:id="190"/>
      </w:r>
    </w:p>
    <w:p w:rsidR="00176C73" w:rsidRPr="00662BA1" w:rsidRDefault="00703691" w:rsidP="00703691">
      <w:pPr>
        <w:pStyle w:val="ListParagraph"/>
        <w:tabs>
          <w:tab w:val="clear" w:pos="1440"/>
          <w:tab w:val="clear" w:pos="4320"/>
          <w:tab w:val="clear" w:pos="9072"/>
          <w:tab w:val="left" w:pos="2074"/>
        </w:tabs>
        <w:snapToGrid/>
        <w:spacing w:before="240"/>
        <w:ind w:left="1454" w:right="835" w:hanging="187"/>
        <w:contextualSpacing w:val="0"/>
        <w:jc w:val="both"/>
        <w:rPr>
          <w:sz w:val="24"/>
          <w:szCs w:val="24"/>
        </w:rPr>
      </w:pPr>
      <w:r w:rsidRPr="00662BA1">
        <w:rPr>
          <w:sz w:val="24"/>
          <w:szCs w:val="24"/>
        </w:rPr>
        <w:t>“</w:t>
      </w:r>
      <w:r w:rsidRPr="00662BA1">
        <w:rPr>
          <w:sz w:val="24"/>
          <w:szCs w:val="24"/>
        </w:rPr>
        <w:tab/>
      </w:r>
      <w:r w:rsidR="00176C73" w:rsidRPr="00662BA1">
        <w:rPr>
          <w:sz w:val="24"/>
          <w:szCs w:val="24"/>
        </w:rPr>
        <w:t xml:space="preserve">I find the defendant not telling the truth about how the deposits from individuals included gambling winnings. </w:t>
      </w:r>
    </w:p>
    <w:p w:rsidR="00176C73" w:rsidRPr="00662BA1" w:rsidRDefault="00176C73" w:rsidP="00703691">
      <w:pPr>
        <w:pStyle w:val="ListParagraph"/>
        <w:tabs>
          <w:tab w:val="clear" w:pos="1440"/>
          <w:tab w:val="clear" w:pos="4320"/>
          <w:tab w:val="clear" w:pos="9072"/>
        </w:tabs>
        <w:snapToGrid/>
        <w:spacing w:before="240"/>
        <w:ind w:left="1454" w:right="835" w:hanging="14"/>
        <w:contextualSpacing w:val="0"/>
        <w:jc w:val="both"/>
        <w:rPr>
          <w:sz w:val="24"/>
          <w:szCs w:val="24"/>
        </w:rPr>
      </w:pPr>
      <w:r w:rsidRPr="00662BA1">
        <w:rPr>
          <w:sz w:val="24"/>
          <w:szCs w:val="24"/>
        </w:rPr>
        <w:t>…………..</w:t>
      </w:r>
    </w:p>
    <w:p w:rsidR="00703691" w:rsidRPr="00662BA1" w:rsidRDefault="00176C73" w:rsidP="00703691">
      <w:pPr>
        <w:pStyle w:val="ListParagraph"/>
        <w:tabs>
          <w:tab w:val="clear" w:pos="1440"/>
          <w:tab w:val="clear" w:pos="4320"/>
          <w:tab w:val="clear" w:pos="9072"/>
        </w:tabs>
        <w:snapToGrid/>
        <w:spacing w:before="240"/>
        <w:ind w:left="1454" w:right="835" w:hanging="14"/>
        <w:contextualSpacing w:val="0"/>
        <w:jc w:val="both"/>
        <w:rPr>
          <w:sz w:val="24"/>
          <w:szCs w:val="24"/>
        </w:rPr>
      </w:pPr>
      <w:r w:rsidRPr="00662BA1">
        <w:rPr>
          <w:sz w:val="24"/>
          <w:szCs w:val="24"/>
        </w:rPr>
        <w:t xml:space="preserve">Based on my observations above and the fact that the defendant had never mentioned in his examination-in-chief that the payments by the individuals on behalf of Neptune or Stock Code 070 company or Lin </w:t>
      </w:r>
      <w:proofErr w:type="spellStart"/>
      <w:r w:rsidRPr="00662BA1">
        <w:rPr>
          <w:sz w:val="24"/>
          <w:szCs w:val="24"/>
        </w:rPr>
        <w:t>Cheuk</w:t>
      </w:r>
      <w:proofErr w:type="spellEnd"/>
      <w:r w:rsidRPr="00662BA1">
        <w:rPr>
          <w:sz w:val="24"/>
          <w:szCs w:val="24"/>
        </w:rPr>
        <w:t xml:space="preserve"> Fung or Cheung Chi Tai included his gambling winnings, I find that the only irresistible inference is that the defendant is lying about the SJM deposits being his gambling winnings.</w:t>
      </w:r>
      <w:r w:rsidR="00703691" w:rsidRPr="00662BA1">
        <w:rPr>
          <w:sz w:val="24"/>
          <w:szCs w:val="24"/>
        </w:rPr>
        <w:t xml:space="preserve"> </w:t>
      </w:r>
      <w:r w:rsidRPr="00662BA1">
        <w:rPr>
          <w:sz w:val="24"/>
          <w:szCs w:val="24"/>
        </w:rPr>
        <w:t xml:space="preserve"> I do not know what the real reason for those deposits are for and cannot speculate.</w:t>
      </w:r>
      <w:r w:rsidR="00703691" w:rsidRPr="00662BA1">
        <w:rPr>
          <w:sz w:val="24"/>
          <w:szCs w:val="24"/>
        </w:rPr>
        <w:t>”</w:t>
      </w:r>
    </w:p>
    <w:p w:rsidR="00703691" w:rsidRPr="00662BA1" w:rsidRDefault="00703691" w:rsidP="00703691">
      <w:pPr>
        <w:pStyle w:val="ListParagraph"/>
        <w:tabs>
          <w:tab w:val="clear" w:pos="1440"/>
          <w:tab w:val="clear" w:pos="4320"/>
          <w:tab w:val="clear" w:pos="9072"/>
        </w:tabs>
        <w:snapToGrid/>
        <w:spacing w:line="80" w:lineRule="exact"/>
        <w:ind w:left="1454" w:right="835" w:hanging="187"/>
        <w:contextualSpacing w:val="0"/>
        <w:jc w:val="both"/>
        <w:rPr>
          <w:sz w:val="24"/>
          <w:szCs w:val="24"/>
        </w:rPr>
      </w:pPr>
    </w:p>
    <w:p w:rsidR="00176C73" w:rsidRPr="00662BA1" w:rsidRDefault="00176C73" w:rsidP="00703691">
      <w:pPr>
        <w:pStyle w:val="ListParagraph"/>
        <w:tabs>
          <w:tab w:val="clear" w:pos="1440"/>
          <w:tab w:val="clear" w:pos="4320"/>
          <w:tab w:val="clear" w:pos="9072"/>
        </w:tabs>
        <w:snapToGrid/>
        <w:spacing w:line="80" w:lineRule="exact"/>
        <w:ind w:left="1454" w:right="835" w:hanging="187"/>
        <w:contextualSpacing w:val="0"/>
        <w:jc w:val="both"/>
        <w:rPr>
          <w:sz w:val="24"/>
          <w:szCs w:val="24"/>
        </w:rPr>
      </w:pPr>
    </w:p>
    <w:p w:rsidR="00703691" w:rsidRPr="00662BA1" w:rsidRDefault="00052537" w:rsidP="00703691">
      <w:pPr>
        <w:tabs>
          <w:tab w:val="clear" w:pos="4320"/>
          <w:tab w:val="clear" w:pos="9072"/>
        </w:tabs>
        <w:snapToGrid/>
        <w:spacing w:before="360" w:line="360" w:lineRule="auto"/>
        <w:jc w:val="both"/>
        <w:rPr>
          <w:szCs w:val="28"/>
        </w:rPr>
      </w:pPr>
      <w:r w:rsidRPr="00662BA1">
        <w:rPr>
          <w:szCs w:val="24"/>
        </w:rPr>
        <w:fldChar w:fldCharType="begin"/>
      </w:r>
      <w:r w:rsidR="00703691" w:rsidRPr="00662BA1">
        <w:rPr>
          <w:szCs w:val="24"/>
        </w:rPr>
        <w:instrText xml:space="preserve"> AUTONUMOUT  </w:instrText>
      </w:r>
      <w:r w:rsidRPr="00662BA1">
        <w:rPr>
          <w:szCs w:val="24"/>
        </w:rPr>
        <w:fldChar w:fldCharType="end"/>
      </w:r>
      <w:r w:rsidR="00703691" w:rsidRPr="00662BA1">
        <w:rPr>
          <w:szCs w:val="24"/>
        </w:rPr>
        <w:tab/>
      </w:r>
      <w:r w:rsidR="00176C73" w:rsidRPr="00662BA1">
        <w:rPr>
          <w:szCs w:val="28"/>
        </w:rPr>
        <w:t>We are satisfied that the evidence upon which the judge determined that the money represented by the 10 SJM cash chequ</w:t>
      </w:r>
      <w:r w:rsidR="00703691" w:rsidRPr="00662BA1">
        <w:rPr>
          <w:szCs w:val="28"/>
        </w:rPr>
        <w:t>es deposited into the applicant’</w:t>
      </w:r>
      <w:r w:rsidR="00176C73" w:rsidRPr="00662BA1">
        <w:rPr>
          <w:szCs w:val="28"/>
        </w:rPr>
        <w:t>s bank account was not the applicant’s gambling winnings was compelling and the judge was enti</w:t>
      </w:r>
      <w:r w:rsidR="00703691" w:rsidRPr="00662BA1">
        <w:rPr>
          <w:szCs w:val="28"/>
        </w:rPr>
        <w:t>tled to make that determination</w:t>
      </w:r>
      <w:r w:rsidR="00176C73" w:rsidRPr="00662BA1">
        <w:rPr>
          <w:szCs w:val="28"/>
        </w:rPr>
        <w:t>.</w:t>
      </w:r>
    </w:p>
    <w:p w:rsidR="00B23EF2" w:rsidRPr="00662BA1" w:rsidRDefault="00052537" w:rsidP="00B23EF2">
      <w:pPr>
        <w:tabs>
          <w:tab w:val="clear" w:pos="4320"/>
          <w:tab w:val="clear" w:pos="9072"/>
        </w:tabs>
        <w:snapToGrid/>
        <w:spacing w:before="360" w:line="360" w:lineRule="auto"/>
        <w:jc w:val="both"/>
        <w:rPr>
          <w:szCs w:val="28"/>
        </w:rPr>
      </w:pPr>
      <w:r w:rsidRPr="00662BA1">
        <w:rPr>
          <w:szCs w:val="28"/>
        </w:rPr>
        <w:fldChar w:fldCharType="begin"/>
      </w:r>
      <w:r w:rsidR="00703691" w:rsidRPr="00662BA1">
        <w:rPr>
          <w:szCs w:val="28"/>
        </w:rPr>
        <w:instrText xml:space="preserve"> AUTONUMOUT  </w:instrText>
      </w:r>
      <w:r w:rsidRPr="00662BA1">
        <w:rPr>
          <w:szCs w:val="28"/>
        </w:rPr>
        <w:fldChar w:fldCharType="end"/>
      </w:r>
      <w:r w:rsidR="00703691" w:rsidRPr="00662BA1">
        <w:rPr>
          <w:szCs w:val="28"/>
        </w:rPr>
        <w:tab/>
      </w:r>
      <w:r w:rsidR="00176C73" w:rsidRPr="00662BA1">
        <w:rPr>
          <w:szCs w:val="28"/>
        </w:rPr>
        <w:t xml:space="preserve">The criticism made of the judge that the finding that he did not know the real reason for the deposits of the SJM cheques was an insufficient basis upon which to proceed to convict the applicant is, with respect, misplaced. </w:t>
      </w:r>
      <w:r w:rsidR="00B23EF2" w:rsidRPr="00662BA1">
        <w:rPr>
          <w:szCs w:val="28"/>
        </w:rPr>
        <w:t xml:space="preserve"> Having rejected the applicant’s testimony that the $62.45 </w:t>
      </w:r>
      <w:r w:rsidR="00176C73" w:rsidRPr="00662BA1">
        <w:rPr>
          <w:szCs w:val="28"/>
        </w:rPr>
        <w:t xml:space="preserve">million deposited into his bank account in a period of several weeks by way of SJM cash cheques represented his gambling winnings, there was no explanation at all for the huge deposit of monies. </w:t>
      </w:r>
      <w:r w:rsidR="00B23EF2" w:rsidRPr="00662BA1">
        <w:rPr>
          <w:szCs w:val="28"/>
        </w:rPr>
        <w:t xml:space="preserve"> </w:t>
      </w:r>
      <w:r w:rsidR="00176C73" w:rsidRPr="00662BA1">
        <w:rPr>
          <w:szCs w:val="28"/>
        </w:rPr>
        <w:t xml:space="preserve">The single remaining issue was, having regard to all the circumstances, whether or not the applicant had reasonable grounds to believe that the monies were the proceeds of an indictable offence. </w:t>
      </w:r>
    </w:p>
    <w:p w:rsidR="00B23EF2" w:rsidRPr="00662BA1" w:rsidRDefault="00052537" w:rsidP="00B23EF2">
      <w:pPr>
        <w:tabs>
          <w:tab w:val="clear" w:pos="4320"/>
          <w:tab w:val="clear" w:pos="9072"/>
        </w:tabs>
        <w:snapToGrid/>
        <w:spacing w:before="360" w:line="360" w:lineRule="auto"/>
        <w:jc w:val="both"/>
        <w:rPr>
          <w:szCs w:val="24"/>
        </w:rPr>
      </w:pPr>
      <w:r w:rsidRPr="00662BA1">
        <w:rPr>
          <w:szCs w:val="28"/>
        </w:rPr>
        <w:fldChar w:fldCharType="begin"/>
      </w:r>
      <w:r w:rsidR="00B23EF2" w:rsidRPr="00662BA1">
        <w:rPr>
          <w:szCs w:val="28"/>
        </w:rPr>
        <w:instrText xml:space="preserve"> AUTONUMOUT  </w:instrText>
      </w:r>
      <w:r w:rsidRPr="00662BA1">
        <w:rPr>
          <w:szCs w:val="28"/>
        </w:rPr>
        <w:fldChar w:fldCharType="end"/>
      </w:r>
      <w:r w:rsidR="00B23EF2" w:rsidRPr="00662BA1">
        <w:rPr>
          <w:szCs w:val="28"/>
        </w:rPr>
        <w:tab/>
      </w:r>
      <w:r w:rsidR="00176C73" w:rsidRPr="00662BA1">
        <w:rPr>
          <w:szCs w:val="24"/>
        </w:rPr>
        <w:t>In his verdict in respect of Charge 1 the jud</w:t>
      </w:r>
      <w:r w:rsidR="00B23EF2" w:rsidRPr="00662BA1">
        <w:rPr>
          <w:szCs w:val="24"/>
        </w:rPr>
        <w:t>ge reiterated his finding that “</w:t>
      </w:r>
      <w:r w:rsidR="00176C73" w:rsidRPr="00662BA1">
        <w:rPr>
          <w:szCs w:val="24"/>
        </w:rPr>
        <w:t>the deposits from SJM were not the de</w:t>
      </w:r>
      <w:r w:rsidR="00B23EF2" w:rsidRPr="00662BA1">
        <w:rPr>
          <w:szCs w:val="24"/>
        </w:rPr>
        <w:t>fendant’s gambling winnings”</w:t>
      </w:r>
      <w:r w:rsidR="00176C73" w:rsidRPr="00662BA1">
        <w:rPr>
          <w:szCs w:val="24"/>
        </w:rPr>
        <w:t>.</w:t>
      </w:r>
      <w:r w:rsidR="00176C73" w:rsidRPr="00662BA1">
        <w:rPr>
          <w:rStyle w:val="FootnoteReference"/>
          <w:szCs w:val="24"/>
        </w:rPr>
        <w:footnoteReference w:id="191"/>
      </w:r>
      <w:r w:rsidR="00176C73" w:rsidRPr="00662BA1">
        <w:rPr>
          <w:szCs w:val="24"/>
        </w:rPr>
        <w:t xml:space="preserve"> </w:t>
      </w:r>
      <w:r w:rsidR="00B23EF2" w:rsidRPr="00662BA1">
        <w:rPr>
          <w:szCs w:val="24"/>
        </w:rPr>
        <w:t xml:space="preserve"> </w:t>
      </w:r>
      <w:r w:rsidR="00176C73" w:rsidRPr="00662BA1">
        <w:rPr>
          <w:szCs w:val="24"/>
        </w:rPr>
        <w:t>Then, in the context of the unexplained deposit into one of the applicant’s bank accounts of a huge sum of money over a short period of time, the judge determined that the applicant had reasonable grounds to believe that the monies were the proceeds of an indictable offence.</w:t>
      </w:r>
      <w:r w:rsidR="00176C73" w:rsidRPr="00662BA1">
        <w:rPr>
          <w:rStyle w:val="FootnoteReference"/>
          <w:szCs w:val="24"/>
        </w:rPr>
        <w:footnoteReference w:id="192"/>
      </w:r>
      <w:r w:rsidR="00176C73" w:rsidRPr="00662BA1">
        <w:rPr>
          <w:szCs w:val="24"/>
        </w:rPr>
        <w:t xml:space="preserve"> </w:t>
      </w:r>
      <w:r w:rsidR="00B23EF2" w:rsidRPr="00662BA1">
        <w:rPr>
          <w:szCs w:val="24"/>
        </w:rPr>
        <w:t xml:space="preserve"> </w:t>
      </w:r>
      <w:r w:rsidR="00176C73" w:rsidRPr="00662BA1">
        <w:rPr>
          <w:szCs w:val="24"/>
        </w:rPr>
        <w:t>We are satisfied that, on the evidence that he accepted, the judge was entitled to make that finding.</w:t>
      </w:r>
    </w:p>
    <w:p w:rsidR="00B23EF2" w:rsidRPr="00662BA1" w:rsidRDefault="00176C73" w:rsidP="00B23EF2">
      <w:pPr>
        <w:tabs>
          <w:tab w:val="clear" w:pos="4320"/>
          <w:tab w:val="clear" w:pos="9072"/>
        </w:tabs>
        <w:snapToGrid/>
        <w:spacing w:before="360" w:line="360" w:lineRule="auto"/>
        <w:jc w:val="both"/>
        <w:rPr>
          <w:i/>
          <w:szCs w:val="24"/>
        </w:rPr>
      </w:pPr>
      <w:r w:rsidRPr="00662BA1">
        <w:rPr>
          <w:i/>
          <w:szCs w:val="24"/>
        </w:rPr>
        <w:t>The applicant’s father’s bank accounts</w:t>
      </w:r>
    </w:p>
    <w:p w:rsidR="00176C73" w:rsidRPr="00662BA1" w:rsidRDefault="00052537" w:rsidP="00B23EF2">
      <w:pPr>
        <w:tabs>
          <w:tab w:val="clear" w:pos="4320"/>
          <w:tab w:val="clear" w:pos="9072"/>
        </w:tabs>
        <w:snapToGrid/>
        <w:spacing w:before="360" w:line="360" w:lineRule="auto"/>
        <w:jc w:val="both"/>
        <w:rPr>
          <w:szCs w:val="24"/>
        </w:rPr>
      </w:pPr>
      <w:r w:rsidRPr="00662BA1">
        <w:rPr>
          <w:szCs w:val="24"/>
        </w:rPr>
        <w:fldChar w:fldCharType="begin"/>
      </w:r>
      <w:r w:rsidR="00B23EF2" w:rsidRPr="00662BA1">
        <w:rPr>
          <w:szCs w:val="24"/>
        </w:rPr>
        <w:instrText xml:space="preserve"> AUTONUMOUT  </w:instrText>
      </w:r>
      <w:r w:rsidRPr="00662BA1">
        <w:rPr>
          <w:szCs w:val="24"/>
        </w:rPr>
        <w:fldChar w:fldCharType="end"/>
      </w:r>
      <w:r w:rsidR="00B23EF2" w:rsidRPr="00662BA1">
        <w:rPr>
          <w:szCs w:val="24"/>
        </w:rPr>
        <w:tab/>
      </w:r>
      <w:r w:rsidR="00176C73" w:rsidRPr="00662BA1">
        <w:rPr>
          <w:szCs w:val="24"/>
        </w:rPr>
        <w:t>It was an admitted fact that the applicant, together with his father, were the only signatories of the two bank accounts in the name of his father, namely Account D and Account E.</w:t>
      </w:r>
      <w:r w:rsidR="00176C73" w:rsidRPr="00662BA1">
        <w:rPr>
          <w:rStyle w:val="FootnoteReference"/>
          <w:szCs w:val="24"/>
        </w:rPr>
        <w:footnoteReference w:id="193"/>
      </w:r>
      <w:r w:rsidR="00176C73" w:rsidRPr="00662BA1">
        <w:rPr>
          <w:szCs w:val="24"/>
        </w:rPr>
        <w:t xml:space="preserve"> </w:t>
      </w:r>
      <w:r w:rsidR="00B23EF2" w:rsidRPr="00662BA1">
        <w:rPr>
          <w:szCs w:val="24"/>
        </w:rPr>
        <w:t xml:space="preserve"> </w:t>
      </w:r>
      <w:r w:rsidR="00176C73" w:rsidRPr="00662BA1">
        <w:rPr>
          <w:szCs w:val="24"/>
        </w:rPr>
        <w:t>In addressing the issue of whether or not the applicant</w:t>
      </w:r>
      <w:r w:rsidR="00B23EF2" w:rsidRPr="00662BA1">
        <w:rPr>
          <w:szCs w:val="24"/>
        </w:rPr>
        <w:t xml:space="preserve"> dealt with money in his father’</w:t>
      </w:r>
      <w:r w:rsidR="00176C73" w:rsidRPr="00662BA1">
        <w:rPr>
          <w:szCs w:val="24"/>
        </w:rPr>
        <w:t>s bank accounts, the judge noted that there was</w:t>
      </w:r>
      <w:r w:rsidR="00B23EF2" w:rsidRPr="00662BA1">
        <w:rPr>
          <w:szCs w:val="24"/>
        </w:rPr>
        <w:t xml:space="preserve"> no evidence that the applicant’s father had the “</w:t>
      </w:r>
      <w:r w:rsidR="00176C73" w:rsidRPr="00662BA1">
        <w:rPr>
          <w:szCs w:val="24"/>
        </w:rPr>
        <w:t>same abilities and prowess as the d</w:t>
      </w:r>
      <w:r w:rsidR="00B23EF2" w:rsidRPr="00662BA1">
        <w:rPr>
          <w:szCs w:val="24"/>
        </w:rPr>
        <w:t>efendant does in share dealings”</w:t>
      </w:r>
      <w:r w:rsidR="00176C73" w:rsidRPr="00662BA1">
        <w:rPr>
          <w:szCs w:val="24"/>
        </w:rPr>
        <w:t>.</w:t>
      </w:r>
      <w:r w:rsidR="00176C73" w:rsidRPr="00662BA1">
        <w:rPr>
          <w:rStyle w:val="FootnoteReference"/>
          <w:szCs w:val="24"/>
        </w:rPr>
        <w:footnoteReference w:id="194"/>
      </w:r>
      <w:r w:rsidR="00176C73" w:rsidRPr="00662BA1">
        <w:rPr>
          <w:szCs w:val="24"/>
        </w:rPr>
        <w:t xml:space="preserve"> </w:t>
      </w:r>
      <w:r w:rsidR="00B23EF2" w:rsidRPr="00662BA1">
        <w:rPr>
          <w:szCs w:val="24"/>
        </w:rPr>
        <w:t xml:space="preserve"> </w:t>
      </w:r>
      <w:r w:rsidR="00176C73" w:rsidRPr="00662BA1">
        <w:rPr>
          <w:szCs w:val="24"/>
        </w:rPr>
        <w:t>He reject</w:t>
      </w:r>
      <w:r w:rsidR="00F77555">
        <w:rPr>
          <w:szCs w:val="24"/>
        </w:rPr>
        <w:t>ed the applicant’</w:t>
      </w:r>
      <w:r w:rsidR="00B23EF2" w:rsidRPr="00662BA1">
        <w:rPr>
          <w:szCs w:val="24"/>
        </w:rPr>
        <w:t>s evidence as “not being the truth”</w:t>
      </w:r>
      <w:r w:rsidR="00176C73" w:rsidRPr="00662BA1">
        <w:rPr>
          <w:szCs w:val="24"/>
        </w:rPr>
        <w:t xml:space="preserve"> that he had made investments together with his father. </w:t>
      </w:r>
      <w:r w:rsidR="00B23EF2" w:rsidRPr="00662BA1">
        <w:rPr>
          <w:szCs w:val="24"/>
        </w:rPr>
        <w:t xml:space="preserve"> </w:t>
      </w:r>
      <w:r w:rsidR="00176C73" w:rsidRPr="00662BA1">
        <w:rPr>
          <w:szCs w:val="24"/>
        </w:rPr>
        <w:t>Rather, the judge found:</w:t>
      </w:r>
      <w:r w:rsidR="00176C73" w:rsidRPr="00662BA1">
        <w:rPr>
          <w:rStyle w:val="FootnoteReference"/>
          <w:szCs w:val="24"/>
        </w:rPr>
        <w:footnoteReference w:id="195"/>
      </w:r>
    </w:p>
    <w:p w:rsidR="00E57DEB" w:rsidRDefault="00B23EF2" w:rsidP="00B23EF2">
      <w:pPr>
        <w:tabs>
          <w:tab w:val="clear" w:pos="4320"/>
          <w:tab w:val="clear" w:pos="9072"/>
          <w:tab w:val="left" w:pos="2074"/>
        </w:tabs>
        <w:snapToGrid/>
        <w:spacing w:before="240"/>
        <w:ind w:left="1454" w:right="835" w:hanging="187"/>
        <w:jc w:val="both"/>
        <w:rPr>
          <w:sz w:val="24"/>
          <w:szCs w:val="24"/>
        </w:rPr>
      </w:pPr>
      <w:r w:rsidRPr="00662BA1">
        <w:rPr>
          <w:sz w:val="24"/>
          <w:szCs w:val="24"/>
        </w:rPr>
        <w:t>“</w:t>
      </w:r>
      <w:r w:rsidRPr="00662BA1">
        <w:rPr>
          <w:sz w:val="24"/>
          <w:szCs w:val="24"/>
        </w:rPr>
        <w:tab/>
      </w:r>
      <w:r w:rsidRPr="00662BA1">
        <w:rPr>
          <w:sz w:val="24"/>
          <w:szCs w:val="24"/>
        </w:rPr>
        <w:tab/>
      </w:r>
      <w:r w:rsidR="00176C73" w:rsidRPr="00662BA1">
        <w:rPr>
          <w:sz w:val="24"/>
          <w:szCs w:val="24"/>
        </w:rPr>
        <w:t xml:space="preserve">The truth is the defendant was just using his father’s name to open the accounts and then to use the accounts as if they were his own. </w:t>
      </w:r>
      <w:r w:rsidRPr="00662BA1">
        <w:rPr>
          <w:sz w:val="24"/>
          <w:szCs w:val="24"/>
        </w:rPr>
        <w:t xml:space="preserve"> </w:t>
      </w:r>
      <w:r w:rsidR="00176C73" w:rsidRPr="00662BA1">
        <w:rPr>
          <w:sz w:val="24"/>
          <w:szCs w:val="24"/>
        </w:rPr>
        <w:t>I find that the reason he chose to do so must be for concealment of the source of the funds or his involveme</w:t>
      </w:r>
      <w:r w:rsidRPr="00662BA1">
        <w:rPr>
          <w:sz w:val="24"/>
          <w:szCs w:val="24"/>
        </w:rPr>
        <w:t>nt in the dealing of the funds.”</w:t>
      </w:r>
    </w:p>
    <w:p w:rsidR="00BC3A12" w:rsidRPr="00662BA1" w:rsidRDefault="00BC3A12" w:rsidP="00E57DEB">
      <w:pPr>
        <w:tabs>
          <w:tab w:val="clear" w:pos="4320"/>
          <w:tab w:val="clear" w:pos="9072"/>
          <w:tab w:val="left" w:pos="2074"/>
        </w:tabs>
        <w:snapToGrid/>
        <w:spacing w:line="80" w:lineRule="exact"/>
        <w:ind w:left="1454" w:right="835" w:hanging="187"/>
        <w:jc w:val="both"/>
        <w:rPr>
          <w:sz w:val="24"/>
          <w:szCs w:val="24"/>
        </w:rPr>
      </w:pPr>
    </w:p>
    <w:p w:rsidR="00BC3A12" w:rsidRPr="00662BA1" w:rsidRDefault="00BC3A12" w:rsidP="00BC3A12">
      <w:pPr>
        <w:tabs>
          <w:tab w:val="clear" w:pos="4320"/>
          <w:tab w:val="clear" w:pos="9072"/>
          <w:tab w:val="left" w:pos="2074"/>
        </w:tabs>
        <w:snapToGrid/>
        <w:spacing w:line="80" w:lineRule="exact"/>
        <w:ind w:left="1454" w:right="835" w:hanging="187"/>
        <w:jc w:val="both"/>
        <w:rPr>
          <w:sz w:val="24"/>
          <w:szCs w:val="24"/>
        </w:rPr>
      </w:pPr>
    </w:p>
    <w:p w:rsidR="00BC3A12" w:rsidRPr="00662BA1" w:rsidRDefault="00052537" w:rsidP="00FC3D5B">
      <w:pPr>
        <w:tabs>
          <w:tab w:val="clear" w:pos="4320"/>
          <w:tab w:val="clear" w:pos="9072"/>
        </w:tabs>
        <w:snapToGrid/>
        <w:spacing w:before="360" w:line="360" w:lineRule="auto"/>
        <w:jc w:val="both"/>
        <w:rPr>
          <w:rFonts w:eastAsia="PMingLiU"/>
          <w:szCs w:val="28"/>
          <w:lang w:eastAsia="zh-TW"/>
        </w:rPr>
      </w:pPr>
      <w:r>
        <w:rPr>
          <w:szCs w:val="24"/>
        </w:rPr>
        <w:fldChar w:fldCharType="begin"/>
      </w:r>
      <w:r w:rsidR="00FC3D5B">
        <w:rPr>
          <w:szCs w:val="24"/>
        </w:rPr>
        <w:instrText xml:space="preserve"> AUTONUMOUT  </w:instrText>
      </w:r>
      <w:r>
        <w:rPr>
          <w:szCs w:val="24"/>
        </w:rPr>
        <w:fldChar w:fldCharType="end"/>
      </w:r>
      <w:r w:rsidR="00FC3D5B">
        <w:rPr>
          <w:szCs w:val="24"/>
        </w:rPr>
        <w:tab/>
      </w:r>
      <w:r w:rsidR="00176C73" w:rsidRPr="00662BA1">
        <w:rPr>
          <w:szCs w:val="28"/>
        </w:rPr>
        <w:t>Earlier, the judge had noted that five witness statements of Sergeant Kwan together with his oral testimony had been received in evidence.</w:t>
      </w:r>
      <w:r w:rsidR="00176C73" w:rsidRPr="00662BA1">
        <w:rPr>
          <w:rStyle w:val="FootnoteReference"/>
          <w:szCs w:val="28"/>
        </w:rPr>
        <w:footnoteReference w:id="196"/>
      </w:r>
      <w:r w:rsidR="00BC3A12" w:rsidRPr="00662BA1">
        <w:rPr>
          <w:szCs w:val="28"/>
        </w:rPr>
        <w:t xml:space="preserve">  </w:t>
      </w:r>
      <w:r w:rsidR="00522BE6">
        <w:rPr>
          <w:szCs w:val="28"/>
        </w:rPr>
        <w:t>Subsequently, the judge found “</w:t>
      </w:r>
      <w:r w:rsidR="00176C73" w:rsidRPr="00662BA1">
        <w:rPr>
          <w:szCs w:val="28"/>
        </w:rPr>
        <w:t>the breakdown and analysis of the raw data performed by Sergeant Johnny Kwan correct and accurate.</w:t>
      </w:r>
      <w:r w:rsidR="00BC3A12" w:rsidRPr="00662BA1">
        <w:rPr>
          <w:szCs w:val="28"/>
        </w:rPr>
        <w:t>”</w:t>
      </w:r>
      <w:r w:rsidR="00176C73" w:rsidRPr="00662BA1">
        <w:rPr>
          <w:rStyle w:val="FootnoteReference"/>
          <w:szCs w:val="28"/>
        </w:rPr>
        <w:footnoteReference w:id="197"/>
      </w:r>
      <w:r w:rsidR="00BC3A12" w:rsidRPr="00662BA1">
        <w:rPr>
          <w:szCs w:val="28"/>
        </w:rPr>
        <w:t xml:space="preserve">  </w:t>
      </w:r>
      <w:r w:rsidR="00176C73" w:rsidRPr="00662BA1">
        <w:rPr>
          <w:szCs w:val="28"/>
        </w:rPr>
        <w:t xml:space="preserve">As was pointed out in the respondent’s written </w:t>
      </w:r>
      <w:proofErr w:type="gramStart"/>
      <w:r w:rsidR="00176C73" w:rsidRPr="00662BA1">
        <w:rPr>
          <w:szCs w:val="28"/>
        </w:rPr>
        <w:t>submissions, that</w:t>
      </w:r>
      <w:proofErr w:type="gramEnd"/>
      <w:r w:rsidR="00176C73" w:rsidRPr="00662BA1">
        <w:rPr>
          <w:szCs w:val="28"/>
        </w:rPr>
        <w:t xml:space="preserve"> evidence was relevant to the issue of the role played by the applicant in transactions in Accounts D and E. </w:t>
      </w:r>
      <w:r w:rsidR="00BC3A12" w:rsidRPr="00662BA1">
        <w:rPr>
          <w:szCs w:val="28"/>
        </w:rPr>
        <w:t xml:space="preserve"> Annex </w:t>
      </w:r>
      <w:r w:rsidR="00176C73" w:rsidRPr="00662BA1">
        <w:rPr>
          <w:szCs w:val="28"/>
        </w:rPr>
        <w:t>6 of the statement dated 16 August 2012 described the role of the applicant as providing the authorised signature f</w:t>
      </w:r>
      <w:r w:rsidR="00CD33F8">
        <w:rPr>
          <w:szCs w:val="28"/>
        </w:rPr>
        <w:t>or</w:t>
      </w:r>
      <w:r w:rsidR="00176C73" w:rsidRPr="00662BA1">
        <w:rPr>
          <w:szCs w:val="28"/>
        </w:rPr>
        <w:t xml:space="preserve"> many of the withdrawals from those two bank accounts in the material period. </w:t>
      </w:r>
      <w:r w:rsidR="00BC3A12" w:rsidRPr="00662BA1">
        <w:rPr>
          <w:szCs w:val="28"/>
        </w:rPr>
        <w:t xml:space="preserve"> </w:t>
      </w:r>
      <w:r w:rsidR="0006444B">
        <w:rPr>
          <w:szCs w:val="28"/>
        </w:rPr>
        <w:t>The applicant authorised nine</w:t>
      </w:r>
      <w:r w:rsidR="00176C73" w:rsidRPr="00662BA1">
        <w:rPr>
          <w:szCs w:val="28"/>
        </w:rPr>
        <w:t xml:space="preserve"> of </w:t>
      </w:r>
      <w:r w:rsidR="00BC3A12" w:rsidRPr="00662BA1">
        <w:rPr>
          <w:szCs w:val="28"/>
        </w:rPr>
        <w:t>the 34 withdrawals from Account</w:t>
      </w:r>
      <w:r w:rsidR="00BC3A12" w:rsidRPr="00662BA1">
        <w:rPr>
          <w:rFonts w:eastAsia="PMingLiU"/>
          <w:szCs w:val="28"/>
          <w:lang w:val="en-US" w:eastAsia="zh-TW"/>
        </w:rPr>
        <w:t> </w:t>
      </w:r>
      <w:r w:rsidR="00176C73" w:rsidRPr="00662BA1">
        <w:rPr>
          <w:szCs w:val="28"/>
        </w:rPr>
        <w:t xml:space="preserve">D to a value of $4,744,530 from total withdrawals of $6,521,969. </w:t>
      </w:r>
      <w:r w:rsidR="00BC3A12" w:rsidRPr="00662BA1">
        <w:rPr>
          <w:rFonts w:eastAsia="PMingLiU" w:hint="eastAsia"/>
          <w:szCs w:val="28"/>
          <w:lang w:eastAsia="zh-TW"/>
        </w:rPr>
        <w:t xml:space="preserve"> </w:t>
      </w:r>
      <w:r w:rsidR="00176C73" w:rsidRPr="00662BA1">
        <w:rPr>
          <w:szCs w:val="28"/>
        </w:rPr>
        <w:t xml:space="preserve">Further, the applicant authorised 101 of 134 </w:t>
      </w:r>
      <w:r w:rsidR="005E219C">
        <w:rPr>
          <w:szCs w:val="28"/>
        </w:rPr>
        <w:t>withdrawals from A</w:t>
      </w:r>
      <w:r w:rsidR="00BC3A12" w:rsidRPr="00662BA1">
        <w:rPr>
          <w:szCs w:val="28"/>
        </w:rPr>
        <w:t>ccount</w:t>
      </w:r>
      <w:proofErr w:type="gramStart"/>
      <w:r w:rsidR="00522BE6">
        <w:rPr>
          <w:szCs w:val="28"/>
          <w:lang w:val="en-US"/>
        </w:rPr>
        <w:t>  </w:t>
      </w:r>
      <w:r w:rsidR="00176C73" w:rsidRPr="00662BA1">
        <w:rPr>
          <w:szCs w:val="28"/>
        </w:rPr>
        <w:t>E</w:t>
      </w:r>
      <w:proofErr w:type="gramEnd"/>
      <w:r w:rsidR="00176C73" w:rsidRPr="00662BA1">
        <w:rPr>
          <w:szCs w:val="28"/>
        </w:rPr>
        <w:t>, to a value of $65,483,943 from t</w:t>
      </w:r>
      <w:r w:rsidR="00BC3A12" w:rsidRPr="00662BA1">
        <w:rPr>
          <w:szCs w:val="28"/>
        </w:rPr>
        <w:t>otal withdrawals of $81,735,709</w:t>
      </w:r>
      <w:r w:rsidR="00176C73" w:rsidRPr="00662BA1">
        <w:rPr>
          <w:szCs w:val="28"/>
        </w:rPr>
        <w:t>.30.</w:t>
      </w:r>
      <w:r w:rsidR="00176C73" w:rsidRPr="00662BA1">
        <w:rPr>
          <w:rStyle w:val="FootnoteReference"/>
          <w:szCs w:val="28"/>
        </w:rPr>
        <w:footnoteReference w:id="198"/>
      </w:r>
    </w:p>
    <w:p w:rsidR="006D2CE7" w:rsidRPr="00662BA1" w:rsidRDefault="00052537" w:rsidP="006D2CE7">
      <w:pPr>
        <w:tabs>
          <w:tab w:val="clear" w:pos="4320"/>
          <w:tab w:val="clear" w:pos="9072"/>
        </w:tabs>
        <w:snapToGrid/>
        <w:spacing w:before="360" w:line="360" w:lineRule="auto"/>
        <w:jc w:val="both"/>
        <w:rPr>
          <w:rFonts w:eastAsia="PMingLiU"/>
          <w:szCs w:val="28"/>
          <w:lang w:eastAsia="zh-TW"/>
        </w:rPr>
      </w:pPr>
      <w:r w:rsidRPr="00662BA1">
        <w:rPr>
          <w:szCs w:val="28"/>
          <w:lang w:eastAsia="zh-TW"/>
        </w:rPr>
        <w:fldChar w:fldCharType="begin"/>
      </w:r>
      <w:r w:rsidR="00BC3A12" w:rsidRPr="00662BA1">
        <w:rPr>
          <w:szCs w:val="28"/>
          <w:lang w:eastAsia="zh-TW"/>
        </w:rPr>
        <w:instrText xml:space="preserve"> </w:instrText>
      </w:r>
      <w:r w:rsidR="00BC3A12" w:rsidRPr="00662BA1">
        <w:rPr>
          <w:rFonts w:hint="eastAsia"/>
          <w:szCs w:val="28"/>
          <w:lang w:eastAsia="zh-TW"/>
        </w:rPr>
        <w:instrText xml:space="preserve">AUTONUMOUT </w:instrText>
      </w:r>
      <w:r w:rsidR="00BC3A12" w:rsidRPr="00662BA1">
        <w:rPr>
          <w:szCs w:val="28"/>
          <w:lang w:eastAsia="zh-TW"/>
        </w:rPr>
        <w:instrText xml:space="preserve"> </w:instrText>
      </w:r>
      <w:r w:rsidRPr="00662BA1">
        <w:rPr>
          <w:szCs w:val="28"/>
          <w:lang w:eastAsia="zh-TW"/>
        </w:rPr>
        <w:fldChar w:fldCharType="end"/>
      </w:r>
      <w:r w:rsidR="00BC3A12" w:rsidRPr="00662BA1">
        <w:rPr>
          <w:szCs w:val="28"/>
          <w:lang w:eastAsia="zh-TW"/>
        </w:rPr>
        <w:tab/>
      </w:r>
      <w:r w:rsidR="00176C73" w:rsidRPr="00662BA1">
        <w:rPr>
          <w:szCs w:val="28"/>
        </w:rPr>
        <w:t xml:space="preserve">In </w:t>
      </w:r>
      <w:r w:rsidR="006D2CE7" w:rsidRPr="00662BA1">
        <w:rPr>
          <w:szCs w:val="28"/>
        </w:rPr>
        <w:t xml:space="preserve">determining that the applicant </w:t>
      </w:r>
      <w:r w:rsidR="006D2CE7" w:rsidRPr="00662BA1">
        <w:rPr>
          <w:rFonts w:eastAsia="PMingLiU"/>
          <w:szCs w:val="28"/>
          <w:lang w:eastAsia="zh-TW"/>
        </w:rPr>
        <w:t>“</w:t>
      </w:r>
      <w:r w:rsidR="00176C73" w:rsidRPr="00662BA1">
        <w:rPr>
          <w:szCs w:val="28"/>
        </w:rPr>
        <w:t>did also deal with money</w:t>
      </w:r>
      <w:r w:rsidR="006D2CE7" w:rsidRPr="00662BA1">
        <w:rPr>
          <w:szCs w:val="28"/>
        </w:rPr>
        <w:t xml:space="preserve"> in his father</w:t>
      </w:r>
      <w:r w:rsidR="006D2CE7" w:rsidRPr="00662BA1">
        <w:rPr>
          <w:rFonts w:eastAsia="PMingLiU"/>
          <w:szCs w:val="28"/>
          <w:lang w:eastAsia="zh-TW"/>
        </w:rPr>
        <w:t>’</w:t>
      </w:r>
      <w:r w:rsidR="00176C73" w:rsidRPr="00662BA1">
        <w:rPr>
          <w:szCs w:val="28"/>
        </w:rPr>
        <w:t>s bank accounts</w:t>
      </w:r>
      <w:r w:rsidR="006D2CE7" w:rsidRPr="00662BA1">
        <w:rPr>
          <w:rFonts w:eastAsia="PMingLiU"/>
          <w:szCs w:val="28"/>
          <w:lang w:eastAsia="zh-TW"/>
        </w:rPr>
        <w:t>”</w:t>
      </w:r>
      <w:r w:rsidR="006D2CE7" w:rsidRPr="00662BA1">
        <w:rPr>
          <w:rFonts w:eastAsia="PMingLiU" w:hint="eastAsia"/>
          <w:szCs w:val="28"/>
          <w:lang w:eastAsia="zh-TW"/>
        </w:rPr>
        <w:t> </w:t>
      </w:r>
      <w:r w:rsidR="00176C73" w:rsidRPr="00662BA1">
        <w:rPr>
          <w:rStyle w:val="FootnoteReference"/>
          <w:szCs w:val="28"/>
        </w:rPr>
        <w:footnoteReference w:id="199"/>
      </w:r>
      <w:r w:rsidR="00176C73" w:rsidRPr="00662BA1">
        <w:rPr>
          <w:szCs w:val="28"/>
        </w:rPr>
        <w:t xml:space="preserve"> the judge cited examples of that conduct. </w:t>
      </w:r>
      <w:r w:rsidR="006D2CE7" w:rsidRPr="00662BA1">
        <w:rPr>
          <w:szCs w:val="28"/>
          <w:lang w:val="en-US"/>
        </w:rPr>
        <w:t xml:space="preserve"> </w:t>
      </w:r>
      <w:r w:rsidR="00176C73" w:rsidRPr="00662BA1">
        <w:rPr>
          <w:szCs w:val="28"/>
        </w:rPr>
        <w:t xml:space="preserve">First, the deposit of a cheque drawn on the account of Cheung Chi Tai for $1 million which </w:t>
      </w:r>
      <w:r w:rsidR="006D2CE7" w:rsidRPr="00662BA1">
        <w:rPr>
          <w:szCs w:val="28"/>
        </w:rPr>
        <w:t>had been deposited into Account</w:t>
      </w:r>
      <w:r w:rsidR="006D2CE7" w:rsidRPr="00662BA1">
        <w:rPr>
          <w:szCs w:val="28"/>
          <w:lang w:val="en-US"/>
        </w:rPr>
        <w:t> </w:t>
      </w:r>
      <w:r w:rsidR="006D2CE7" w:rsidRPr="00662BA1">
        <w:rPr>
          <w:szCs w:val="28"/>
        </w:rPr>
        <w:t xml:space="preserve">E on 6 January 2006, but which </w:t>
      </w:r>
      <w:r w:rsidR="006D2CE7" w:rsidRPr="00662BA1">
        <w:rPr>
          <w:rFonts w:eastAsia="PMingLiU"/>
          <w:szCs w:val="28"/>
          <w:lang w:eastAsia="zh-TW"/>
        </w:rPr>
        <w:t>“</w:t>
      </w:r>
      <w:r w:rsidR="00176C73" w:rsidRPr="00662BA1">
        <w:rPr>
          <w:szCs w:val="28"/>
        </w:rPr>
        <w:t>was later transferred into</w:t>
      </w:r>
      <w:r w:rsidR="006D2CE7" w:rsidRPr="00662BA1">
        <w:rPr>
          <w:szCs w:val="28"/>
        </w:rPr>
        <w:t xml:space="preserve"> the defendant</w:t>
      </w:r>
      <w:r w:rsidR="006D2CE7" w:rsidRPr="00662BA1">
        <w:rPr>
          <w:rFonts w:eastAsia="PMingLiU"/>
          <w:szCs w:val="28"/>
          <w:lang w:eastAsia="zh-TW"/>
        </w:rPr>
        <w:t>’</w:t>
      </w:r>
      <w:r w:rsidR="006D2CE7" w:rsidRPr="00662BA1">
        <w:rPr>
          <w:szCs w:val="28"/>
        </w:rPr>
        <w:t>s account by three instalments</w:t>
      </w:r>
      <w:r w:rsidR="006D2CE7" w:rsidRPr="00662BA1">
        <w:rPr>
          <w:rFonts w:eastAsia="PMingLiU"/>
          <w:szCs w:val="28"/>
          <w:lang w:eastAsia="zh-TW"/>
        </w:rPr>
        <w:t>”</w:t>
      </w:r>
      <w:r w:rsidR="00176C73" w:rsidRPr="00662BA1">
        <w:rPr>
          <w:szCs w:val="28"/>
        </w:rPr>
        <w:t>.</w:t>
      </w:r>
      <w:r w:rsidR="00176C73" w:rsidRPr="00662BA1">
        <w:rPr>
          <w:rStyle w:val="FootnoteReference"/>
          <w:szCs w:val="28"/>
        </w:rPr>
        <w:footnoteReference w:id="200"/>
      </w:r>
      <w:r w:rsidR="00176C73" w:rsidRPr="00662BA1">
        <w:rPr>
          <w:szCs w:val="28"/>
        </w:rPr>
        <w:t xml:space="preserve"> </w:t>
      </w:r>
      <w:r w:rsidR="006D2CE7" w:rsidRPr="00662BA1">
        <w:rPr>
          <w:rFonts w:eastAsia="PMingLiU" w:hint="eastAsia"/>
          <w:szCs w:val="28"/>
          <w:lang w:eastAsia="zh-TW"/>
        </w:rPr>
        <w:t xml:space="preserve"> </w:t>
      </w:r>
      <w:r w:rsidR="00176C73" w:rsidRPr="00662BA1">
        <w:rPr>
          <w:szCs w:val="28"/>
        </w:rPr>
        <w:t>Secondly, a cheque dated 22 August 2007 for $3,</w:t>
      </w:r>
      <w:r w:rsidR="00522BE6">
        <w:rPr>
          <w:szCs w:val="28"/>
        </w:rPr>
        <w:t>910,000, in which the applicant’</w:t>
      </w:r>
      <w:r w:rsidR="00176C73" w:rsidRPr="00662BA1">
        <w:rPr>
          <w:szCs w:val="28"/>
        </w:rPr>
        <w:t xml:space="preserve">s father was the payee, drawn on the account of Golden Mount </w:t>
      </w:r>
      <w:r w:rsidR="006D2CE7" w:rsidRPr="00662BA1">
        <w:rPr>
          <w:szCs w:val="28"/>
        </w:rPr>
        <w:t>Ltd, a company controlled by Mr</w:t>
      </w:r>
      <w:r w:rsidR="00522BE6">
        <w:rPr>
          <w:szCs w:val="28"/>
          <w:lang w:val="en-US"/>
        </w:rPr>
        <w:t> </w:t>
      </w:r>
      <w:proofErr w:type="spellStart"/>
      <w:r w:rsidR="00176C73" w:rsidRPr="00662BA1">
        <w:rPr>
          <w:szCs w:val="28"/>
        </w:rPr>
        <w:t>Chim</w:t>
      </w:r>
      <w:proofErr w:type="spellEnd"/>
      <w:r w:rsidR="00176C73" w:rsidRPr="00662BA1">
        <w:rPr>
          <w:szCs w:val="28"/>
        </w:rPr>
        <w:t xml:space="preserve"> </w:t>
      </w:r>
      <w:proofErr w:type="spellStart"/>
      <w:r w:rsidR="00176C73" w:rsidRPr="00662BA1">
        <w:rPr>
          <w:szCs w:val="28"/>
        </w:rPr>
        <w:t>Pui</w:t>
      </w:r>
      <w:proofErr w:type="spellEnd"/>
      <w:r w:rsidR="00176C73" w:rsidRPr="00662BA1">
        <w:rPr>
          <w:szCs w:val="28"/>
        </w:rPr>
        <w:t xml:space="preserve"> Chung, and which was deposited into Account E.</w:t>
      </w:r>
      <w:r w:rsidR="00176C73" w:rsidRPr="00662BA1">
        <w:rPr>
          <w:rStyle w:val="FootnoteReference"/>
          <w:szCs w:val="28"/>
        </w:rPr>
        <w:footnoteReference w:id="201"/>
      </w:r>
    </w:p>
    <w:p w:rsidR="00176C73" w:rsidRPr="00662BA1" w:rsidRDefault="00052537" w:rsidP="006D2CE7">
      <w:pPr>
        <w:tabs>
          <w:tab w:val="clear" w:pos="4320"/>
          <w:tab w:val="clear" w:pos="9072"/>
        </w:tabs>
        <w:snapToGrid/>
        <w:spacing w:before="360" w:line="360" w:lineRule="auto"/>
        <w:jc w:val="both"/>
        <w:rPr>
          <w:szCs w:val="28"/>
        </w:rPr>
      </w:pPr>
      <w:r w:rsidRPr="00662BA1">
        <w:rPr>
          <w:szCs w:val="28"/>
          <w:lang w:eastAsia="zh-TW"/>
        </w:rPr>
        <w:fldChar w:fldCharType="begin"/>
      </w:r>
      <w:r w:rsidR="006D2CE7" w:rsidRPr="00662BA1">
        <w:rPr>
          <w:szCs w:val="28"/>
          <w:lang w:eastAsia="zh-TW"/>
        </w:rPr>
        <w:instrText xml:space="preserve"> </w:instrText>
      </w:r>
      <w:r w:rsidR="006D2CE7" w:rsidRPr="00662BA1">
        <w:rPr>
          <w:rFonts w:hint="eastAsia"/>
          <w:szCs w:val="28"/>
          <w:lang w:eastAsia="zh-TW"/>
        </w:rPr>
        <w:instrText xml:space="preserve">AUTONUMOUT </w:instrText>
      </w:r>
      <w:r w:rsidR="006D2CE7" w:rsidRPr="00662BA1">
        <w:rPr>
          <w:szCs w:val="28"/>
          <w:lang w:eastAsia="zh-TW"/>
        </w:rPr>
        <w:instrText xml:space="preserve"> </w:instrText>
      </w:r>
      <w:r w:rsidRPr="00662BA1">
        <w:rPr>
          <w:szCs w:val="28"/>
          <w:lang w:eastAsia="zh-TW"/>
        </w:rPr>
        <w:fldChar w:fldCharType="end"/>
      </w:r>
      <w:r w:rsidR="006D2CE7" w:rsidRPr="00662BA1">
        <w:rPr>
          <w:szCs w:val="28"/>
          <w:lang w:eastAsia="zh-TW"/>
        </w:rPr>
        <w:tab/>
      </w:r>
      <w:r w:rsidR="00176C73" w:rsidRPr="00662BA1">
        <w:rPr>
          <w:szCs w:val="28"/>
        </w:rPr>
        <w:t>Earlier,</w:t>
      </w:r>
      <w:r w:rsidR="00C36C1E" w:rsidRPr="00662BA1">
        <w:rPr>
          <w:szCs w:val="28"/>
        </w:rPr>
        <w:t xml:space="preserve"> the judge had noted of Mr </w:t>
      </w:r>
      <w:proofErr w:type="spellStart"/>
      <w:r w:rsidR="00C36C1E" w:rsidRPr="00662BA1">
        <w:rPr>
          <w:szCs w:val="28"/>
        </w:rPr>
        <w:t>Chim</w:t>
      </w:r>
      <w:r w:rsidR="00C36C1E" w:rsidRPr="00662BA1">
        <w:rPr>
          <w:rFonts w:eastAsia="PMingLiU"/>
          <w:szCs w:val="28"/>
          <w:lang w:eastAsia="zh-TW"/>
        </w:rPr>
        <w:t>’</w:t>
      </w:r>
      <w:r w:rsidR="00C36C1E" w:rsidRPr="00662BA1">
        <w:rPr>
          <w:szCs w:val="28"/>
        </w:rPr>
        <w:t>s</w:t>
      </w:r>
      <w:proofErr w:type="spellEnd"/>
      <w:r w:rsidR="00C36C1E" w:rsidRPr="00662BA1">
        <w:rPr>
          <w:szCs w:val="28"/>
        </w:rPr>
        <w:t xml:space="preserve"> evidence that </w:t>
      </w:r>
      <w:r w:rsidR="00C36C1E" w:rsidRPr="00662BA1">
        <w:rPr>
          <w:rFonts w:eastAsia="PMingLiU"/>
          <w:szCs w:val="28"/>
          <w:lang w:eastAsia="zh-TW"/>
        </w:rPr>
        <w:t>“</w:t>
      </w:r>
      <w:r w:rsidR="00176C73" w:rsidRPr="00662BA1">
        <w:rPr>
          <w:szCs w:val="28"/>
        </w:rPr>
        <w:t>the check wa</w:t>
      </w:r>
      <w:r w:rsidR="00C36C1E" w:rsidRPr="00662BA1">
        <w:rPr>
          <w:szCs w:val="28"/>
        </w:rPr>
        <w:t>s given by him to the defendant</w:t>
      </w:r>
      <w:r w:rsidR="00C36C1E" w:rsidRPr="00662BA1">
        <w:rPr>
          <w:rFonts w:eastAsia="PMingLiU"/>
          <w:szCs w:val="28"/>
          <w:lang w:eastAsia="zh-TW"/>
        </w:rPr>
        <w:t>”</w:t>
      </w:r>
      <w:r w:rsidR="00176C73" w:rsidRPr="00662BA1">
        <w:rPr>
          <w:szCs w:val="28"/>
        </w:rPr>
        <w:t xml:space="preserve">, with whom he had done business at the time. </w:t>
      </w:r>
      <w:r w:rsidR="00C36C1E" w:rsidRPr="00662BA1">
        <w:rPr>
          <w:rFonts w:eastAsia="PMingLiU" w:hint="eastAsia"/>
          <w:szCs w:val="28"/>
          <w:lang w:eastAsia="zh-TW"/>
        </w:rPr>
        <w:t xml:space="preserve"> </w:t>
      </w:r>
      <w:r w:rsidR="00176C73" w:rsidRPr="00662BA1">
        <w:rPr>
          <w:szCs w:val="28"/>
        </w:rPr>
        <w:t>The judge noted tha</w:t>
      </w:r>
      <w:r w:rsidR="00C36C1E" w:rsidRPr="00662BA1">
        <w:rPr>
          <w:szCs w:val="28"/>
        </w:rPr>
        <w:t>t there was no evidence that Mr</w:t>
      </w:r>
      <w:proofErr w:type="gramStart"/>
      <w:r w:rsidR="00C36C1E" w:rsidRPr="00662BA1">
        <w:rPr>
          <w:szCs w:val="28"/>
          <w:lang w:val="en-US"/>
        </w:rPr>
        <w:t> </w:t>
      </w:r>
      <w:r w:rsidR="00522BE6">
        <w:rPr>
          <w:szCs w:val="28"/>
          <w:lang w:val="en-US"/>
        </w:rPr>
        <w:t> </w:t>
      </w:r>
      <w:proofErr w:type="spellStart"/>
      <w:r w:rsidR="00176C73" w:rsidRPr="00662BA1">
        <w:rPr>
          <w:szCs w:val="28"/>
        </w:rPr>
        <w:t>Chim</w:t>
      </w:r>
      <w:proofErr w:type="spellEnd"/>
      <w:proofErr w:type="gramEnd"/>
      <w:r w:rsidR="00176C73" w:rsidRPr="00662BA1">
        <w:rPr>
          <w:szCs w:val="28"/>
        </w:rPr>
        <w:t xml:space="preserve"> had any dealings with t</w:t>
      </w:r>
      <w:r w:rsidR="00C36C1E" w:rsidRPr="00662BA1">
        <w:rPr>
          <w:szCs w:val="28"/>
        </w:rPr>
        <w:t>he applicant</w:t>
      </w:r>
      <w:r w:rsidR="00C36C1E" w:rsidRPr="00662BA1">
        <w:rPr>
          <w:rFonts w:eastAsia="PMingLiU"/>
          <w:szCs w:val="28"/>
          <w:lang w:eastAsia="zh-TW"/>
        </w:rPr>
        <w:t>’</w:t>
      </w:r>
      <w:r w:rsidR="00176C73" w:rsidRPr="00662BA1">
        <w:rPr>
          <w:szCs w:val="28"/>
        </w:rPr>
        <w:t>s father</w:t>
      </w:r>
      <w:r w:rsidR="00C36C1E" w:rsidRPr="00662BA1">
        <w:rPr>
          <w:szCs w:val="28"/>
          <w:lang w:val="en-US"/>
        </w:rPr>
        <w:t> </w:t>
      </w:r>
      <w:r w:rsidR="00176C73" w:rsidRPr="00662BA1">
        <w:rPr>
          <w:rStyle w:val="FootnoteReference"/>
          <w:szCs w:val="28"/>
        </w:rPr>
        <w:footnoteReference w:id="202"/>
      </w:r>
      <w:r w:rsidR="00176C73" w:rsidRPr="00662BA1">
        <w:rPr>
          <w:szCs w:val="28"/>
        </w:rPr>
        <w:t xml:space="preserve"> and t</w:t>
      </w:r>
      <w:r w:rsidR="00C36C1E" w:rsidRPr="00662BA1">
        <w:rPr>
          <w:szCs w:val="28"/>
        </w:rPr>
        <w:t>hat in respect of the cheque</w:t>
      </w:r>
      <w:r w:rsidR="00CD33F8">
        <w:rPr>
          <w:szCs w:val="28"/>
        </w:rPr>
        <w:t>,</w:t>
      </w:r>
      <w:r w:rsidR="00C36C1E" w:rsidRPr="00662BA1">
        <w:rPr>
          <w:szCs w:val="28"/>
        </w:rPr>
        <w:t xml:space="preserve"> Mr</w:t>
      </w:r>
      <w:r w:rsidR="00C36C1E" w:rsidRPr="00662BA1">
        <w:rPr>
          <w:szCs w:val="28"/>
          <w:lang w:val="en-US"/>
        </w:rPr>
        <w:t> </w:t>
      </w:r>
      <w:proofErr w:type="spellStart"/>
      <w:r w:rsidR="00C36C1E" w:rsidRPr="00662BA1">
        <w:rPr>
          <w:szCs w:val="28"/>
        </w:rPr>
        <w:t>Chim</w:t>
      </w:r>
      <w:r w:rsidR="00C36C1E" w:rsidRPr="00662BA1">
        <w:rPr>
          <w:rFonts w:eastAsia="PMingLiU"/>
          <w:szCs w:val="28"/>
          <w:lang w:eastAsia="zh-TW"/>
        </w:rPr>
        <w:t>’</w:t>
      </w:r>
      <w:r w:rsidR="00176C73" w:rsidRPr="00662BA1">
        <w:rPr>
          <w:szCs w:val="28"/>
        </w:rPr>
        <w:t>s</w:t>
      </w:r>
      <w:proofErr w:type="spellEnd"/>
      <w:r w:rsidR="00176C73" w:rsidRPr="00662BA1">
        <w:rPr>
          <w:szCs w:val="28"/>
        </w:rPr>
        <w:t xml:space="preserve"> evidence was:</w:t>
      </w:r>
      <w:r w:rsidR="00176C73" w:rsidRPr="00662BA1">
        <w:rPr>
          <w:rStyle w:val="FootnoteReference"/>
          <w:szCs w:val="28"/>
        </w:rPr>
        <w:footnoteReference w:id="203"/>
      </w:r>
    </w:p>
    <w:p w:rsidR="00C36C1E" w:rsidRPr="00662BA1" w:rsidRDefault="00C36C1E" w:rsidP="00C36C1E">
      <w:pPr>
        <w:pStyle w:val="ListParagraph"/>
        <w:tabs>
          <w:tab w:val="clear" w:pos="4320"/>
          <w:tab w:val="clear" w:pos="9072"/>
          <w:tab w:val="left" w:pos="2074"/>
        </w:tabs>
        <w:snapToGrid/>
        <w:spacing w:before="240"/>
        <w:ind w:left="1454" w:right="835" w:hanging="187"/>
        <w:jc w:val="both"/>
        <w:rPr>
          <w:sz w:val="24"/>
          <w:szCs w:val="24"/>
        </w:rPr>
      </w:pPr>
      <w:r w:rsidRPr="00662BA1">
        <w:rPr>
          <w:rFonts w:eastAsia="PMingLiU"/>
          <w:sz w:val="24"/>
          <w:szCs w:val="24"/>
          <w:lang w:eastAsia="zh-TW"/>
        </w:rPr>
        <w:t>“</w:t>
      </w:r>
      <w:r w:rsidRPr="00662BA1">
        <w:rPr>
          <w:rFonts w:eastAsia="PMingLiU"/>
          <w:sz w:val="24"/>
          <w:szCs w:val="24"/>
          <w:lang w:eastAsia="zh-TW"/>
        </w:rPr>
        <w:tab/>
      </w:r>
      <w:r w:rsidR="00176C73" w:rsidRPr="00662BA1">
        <w:rPr>
          <w:rFonts w:eastAsia="PMingLiU"/>
          <w:sz w:val="24"/>
          <w:szCs w:val="24"/>
          <w:lang w:eastAsia="zh-TW"/>
        </w:rPr>
        <w:t xml:space="preserve">There are 2 ways of issuing a check in Hong Kong. </w:t>
      </w:r>
      <w:r w:rsidRPr="00662BA1">
        <w:rPr>
          <w:rFonts w:eastAsia="PMingLiU" w:hint="eastAsia"/>
          <w:sz w:val="24"/>
          <w:szCs w:val="24"/>
          <w:lang w:eastAsia="zh-TW"/>
        </w:rPr>
        <w:t xml:space="preserve"> </w:t>
      </w:r>
      <w:r w:rsidR="00176C73" w:rsidRPr="00662BA1">
        <w:rPr>
          <w:rFonts w:eastAsia="PMingLiU"/>
          <w:sz w:val="24"/>
          <w:szCs w:val="24"/>
          <w:lang w:eastAsia="zh-TW"/>
        </w:rPr>
        <w:t xml:space="preserve">First, is writing down the payee’s name straight </w:t>
      </w:r>
      <w:proofErr w:type="gramStart"/>
      <w:r w:rsidR="00176C73" w:rsidRPr="00662BA1">
        <w:rPr>
          <w:rFonts w:eastAsia="PMingLiU"/>
          <w:sz w:val="24"/>
          <w:szCs w:val="24"/>
          <w:lang w:eastAsia="zh-TW"/>
        </w:rPr>
        <w:t>away.</w:t>
      </w:r>
      <w:proofErr w:type="gramEnd"/>
      <w:r w:rsidR="00176C73" w:rsidRPr="00662BA1">
        <w:rPr>
          <w:rFonts w:eastAsia="PMingLiU"/>
          <w:sz w:val="24"/>
          <w:szCs w:val="24"/>
          <w:lang w:eastAsia="zh-TW"/>
        </w:rPr>
        <w:t xml:space="preserve"> </w:t>
      </w:r>
      <w:r w:rsidRPr="00662BA1">
        <w:rPr>
          <w:rFonts w:eastAsia="PMingLiU" w:hint="eastAsia"/>
          <w:sz w:val="24"/>
          <w:szCs w:val="24"/>
          <w:lang w:eastAsia="zh-TW"/>
        </w:rPr>
        <w:t xml:space="preserve"> </w:t>
      </w:r>
      <w:r w:rsidR="00176C73" w:rsidRPr="00662BA1">
        <w:rPr>
          <w:rFonts w:eastAsia="PMingLiU"/>
          <w:sz w:val="24"/>
          <w:szCs w:val="24"/>
          <w:lang w:eastAsia="zh-TW"/>
        </w:rPr>
        <w:t xml:space="preserve">Secondly, the payees’ name is left blank for the relevant personnel to fill in </w:t>
      </w:r>
      <w:proofErr w:type="gramStart"/>
      <w:r w:rsidR="00176C73" w:rsidRPr="00662BA1">
        <w:rPr>
          <w:rFonts w:eastAsia="PMingLiU"/>
          <w:sz w:val="24"/>
          <w:szCs w:val="24"/>
          <w:lang w:eastAsia="zh-TW"/>
        </w:rPr>
        <w:t>himself</w:t>
      </w:r>
      <w:proofErr w:type="gramEnd"/>
      <w:r w:rsidR="00176C73" w:rsidRPr="00662BA1">
        <w:rPr>
          <w:rFonts w:eastAsia="PMingLiU"/>
          <w:sz w:val="24"/>
          <w:szCs w:val="24"/>
          <w:lang w:eastAsia="zh-TW"/>
        </w:rPr>
        <w:t xml:space="preserve">. </w:t>
      </w:r>
      <w:r w:rsidRPr="00662BA1">
        <w:rPr>
          <w:rFonts w:eastAsia="PMingLiU" w:hint="eastAsia"/>
          <w:sz w:val="24"/>
          <w:szCs w:val="24"/>
          <w:lang w:eastAsia="zh-TW"/>
        </w:rPr>
        <w:t xml:space="preserve"> </w:t>
      </w:r>
      <w:r w:rsidR="00176C73" w:rsidRPr="00662BA1">
        <w:rPr>
          <w:rFonts w:eastAsia="PMingLiU"/>
          <w:sz w:val="24"/>
          <w:szCs w:val="24"/>
          <w:lang w:eastAsia="zh-TW"/>
        </w:rPr>
        <w:t xml:space="preserve">From what I recall, this issue was certainly given to the defendant, and he adopted the second way, i.e., he filled in the payee’s name himself. </w:t>
      </w:r>
      <w:r w:rsidRPr="00662BA1">
        <w:rPr>
          <w:rFonts w:eastAsia="PMingLiU" w:hint="eastAsia"/>
          <w:sz w:val="24"/>
          <w:szCs w:val="24"/>
          <w:lang w:eastAsia="zh-TW"/>
        </w:rPr>
        <w:t xml:space="preserve"> </w:t>
      </w:r>
      <w:r w:rsidR="00176C73" w:rsidRPr="00662BA1">
        <w:rPr>
          <w:rFonts w:eastAsia="PMingLiU"/>
          <w:sz w:val="24"/>
          <w:szCs w:val="24"/>
          <w:lang w:eastAsia="zh-TW"/>
        </w:rPr>
        <w:t>I can only confirm that this check was given by me to the defendant.</w:t>
      </w:r>
      <w:r w:rsidR="00176C73" w:rsidRPr="00662BA1">
        <w:rPr>
          <w:sz w:val="24"/>
          <w:szCs w:val="24"/>
        </w:rPr>
        <w:t xml:space="preserve">” </w:t>
      </w:r>
    </w:p>
    <w:p w:rsidR="00C36C1E" w:rsidRPr="00662BA1" w:rsidRDefault="00C36C1E" w:rsidP="00C36C1E">
      <w:pPr>
        <w:pStyle w:val="ListParagraph"/>
        <w:tabs>
          <w:tab w:val="clear" w:pos="4320"/>
          <w:tab w:val="clear" w:pos="9072"/>
          <w:tab w:val="left" w:pos="2074"/>
        </w:tabs>
        <w:snapToGrid/>
        <w:spacing w:line="80" w:lineRule="exact"/>
        <w:ind w:left="1454" w:right="835" w:hanging="187"/>
        <w:jc w:val="both"/>
        <w:rPr>
          <w:sz w:val="24"/>
          <w:szCs w:val="24"/>
        </w:rPr>
      </w:pPr>
    </w:p>
    <w:p w:rsidR="00176C73" w:rsidRPr="00662BA1" w:rsidRDefault="00176C73" w:rsidP="00C36C1E">
      <w:pPr>
        <w:pStyle w:val="ListParagraph"/>
        <w:tabs>
          <w:tab w:val="clear" w:pos="4320"/>
          <w:tab w:val="clear" w:pos="9072"/>
          <w:tab w:val="left" w:pos="2074"/>
        </w:tabs>
        <w:snapToGrid/>
        <w:spacing w:line="80" w:lineRule="exact"/>
        <w:ind w:left="1454" w:right="835" w:hanging="187"/>
        <w:jc w:val="both"/>
        <w:rPr>
          <w:sz w:val="24"/>
          <w:szCs w:val="24"/>
        </w:rPr>
      </w:pPr>
    </w:p>
    <w:p w:rsidR="00C36C1E" w:rsidRPr="00662BA1" w:rsidRDefault="00052537" w:rsidP="00C36C1E">
      <w:pPr>
        <w:pStyle w:val="ListParagraph"/>
        <w:tabs>
          <w:tab w:val="clear" w:pos="4320"/>
          <w:tab w:val="clear" w:pos="9072"/>
        </w:tabs>
        <w:snapToGrid/>
        <w:spacing w:before="360" w:line="360" w:lineRule="auto"/>
        <w:ind w:left="0"/>
        <w:contextualSpacing w:val="0"/>
        <w:jc w:val="both"/>
        <w:rPr>
          <w:rFonts w:eastAsia="PMingLiU"/>
          <w:szCs w:val="28"/>
          <w:lang w:eastAsia="zh-TW"/>
        </w:rPr>
      </w:pPr>
      <w:r w:rsidRPr="00662BA1">
        <w:rPr>
          <w:szCs w:val="28"/>
        </w:rPr>
        <w:fldChar w:fldCharType="begin"/>
      </w:r>
      <w:r w:rsidR="00C36C1E" w:rsidRPr="00662BA1">
        <w:rPr>
          <w:szCs w:val="28"/>
        </w:rPr>
        <w:instrText xml:space="preserve"> AUTONUMOUT  </w:instrText>
      </w:r>
      <w:r w:rsidRPr="00662BA1">
        <w:rPr>
          <w:szCs w:val="28"/>
        </w:rPr>
        <w:fldChar w:fldCharType="end"/>
      </w:r>
      <w:r w:rsidR="00C36C1E" w:rsidRPr="00662BA1">
        <w:rPr>
          <w:szCs w:val="28"/>
        </w:rPr>
        <w:tab/>
      </w:r>
      <w:r w:rsidR="00176C73" w:rsidRPr="00662BA1">
        <w:rPr>
          <w:szCs w:val="28"/>
        </w:rPr>
        <w:t>In considering h</w:t>
      </w:r>
      <w:r w:rsidR="00C36C1E" w:rsidRPr="00662BA1">
        <w:rPr>
          <w:szCs w:val="28"/>
        </w:rPr>
        <w:t>is verdict in respect of Charge</w:t>
      </w:r>
      <w:r w:rsidR="00C36C1E" w:rsidRPr="00662BA1">
        <w:rPr>
          <w:szCs w:val="28"/>
          <w:lang w:val="en-US"/>
        </w:rPr>
        <w:t> </w:t>
      </w:r>
      <w:r w:rsidR="00176C73" w:rsidRPr="00662BA1">
        <w:rPr>
          <w:szCs w:val="28"/>
        </w:rPr>
        <w:t>5, the ju</w:t>
      </w:r>
      <w:r w:rsidR="00C36C1E" w:rsidRPr="00662BA1">
        <w:rPr>
          <w:szCs w:val="28"/>
        </w:rPr>
        <w:t xml:space="preserve">dge described that evidence as </w:t>
      </w:r>
      <w:r w:rsidR="00C36C1E" w:rsidRPr="00662BA1">
        <w:rPr>
          <w:rFonts w:eastAsia="PMingLiU"/>
          <w:szCs w:val="28"/>
          <w:lang w:eastAsia="zh-TW"/>
        </w:rPr>
        <w:t>“</w:t>
      </w:r>
      <w:r w:rsidR="00176C73" w:rsidRPr="00662BA1">
        <w:rPr>
          <w:szCs w:val="28"/>
        </w:rPr>
        <w:t xml:space="preserve">cogent evidence to show that the defendant had dealt with money in </w:t>
      </w:r>
      <w:r w:rsidR="005E219C">
        <w:rPr>
          <w:szCs w:val="28"/>
        </w:rPr>
        <w:t>A</w:t>
      </w:r>
      <w:r w:rsidR="00176C73" w:rsidRPr="00662BA1">
        <w:rPr>
          <w:szCs w:val="28"/>
        </w:rPr>
        <w:t>ccount E.</w:t>
      </w:r>
      <w:r w:rsidR="00C36C1E" w:rsidRPr="00662BA1">
        <w:rPr>
          <w:rFonts w:eastAsia="PMingLiU"/>
          <w:szCs w:val="28"/>
          <w:lang w:eastAsia="zh-TW"/>
        </w:rPr>
        <w:t>”</w:t>
      </w:r>
      <w:r w:rsidR="00C36C1E" w:rsidRPr="00662BA1">
        <w:rPr>
          <w:rFonts w:eastAsia="PMingLiU"/>
          <w:szCs w:val="28"/>
          <w:lang w:val="en-US" w:eastAsia="zh-TW"/>
        </w:rPr>
        <w:t> </w:t>
      </w:r>
      <w:r w:rsidR="00176C73" w:rsidRPr="00662BA1">
        <w:rPr>
          <w:rStyle w:val="FootnoteReference"/>
          <w:szCs w:val="28"/>
        </w:rPr>
        <w:footnoteReference w:id="204"/>
      </w:r>
      <w:r w:rsidR="00176C73" w:rsidRPr="00662BA1">
        <w:rPr>
          <w:szCs w:val="28"/>
        </w:rPr>
        <w:t xml:space="preserve"> </w:t>
      </w:r>
    </w:p>
    <w:p w:rsidR="00176C73" w:rsidRPr="00662BA1" w:rsidRDefault="00052537" w:rsidP="00E15B01">
      <w:pPr>
        <w:pStyle w:val="ListParagraph"/>
        <w:tabs>
          <w:tab w:val="clear" w:pos="4320"/>
          <w:tab w:val="clear" w:pos="9072"/>
        </w:tabs>
        <w:snapToGrid/>
        <w:spacing w:before="360" w:line="360" w:lineRule="auto"/>
        <w:ind w:left="0"/>
        <w:contextualSpacing w:val="0"/>
        <w:jc w:val="both"/>
        <w:rPr>
          <w:szCs w:val="28"/>
        </w:rPr>
      </w:pPr>
      <w:r>
        <w:rPr>
          <w:szCs w:val="28"/>
        </w:rPr>
        <w:fldChar w:fldCharType="begin"/>
      </w:r>
      <w:r w:rsidR="00E15B01">
        <w:rPr>
          <w:szCs w:val="28"/>
        </w:rPr>
        <w:instrText xml:space="preserve"> AUTONUMOUT  </w:instrText>
      </w:r>
      <w:r>
        <w:rPr>
          <w:szCs w:val="28"/>
        </w:rPr>
        <w:fldChar w:fldCharType="end"/>
      </w:r>
      <w:r w:rsidR="00E15B01">
        <w:rPr>
          <w:szCs w:val="28"/>
        </w:rPr>
        <w:tab/>
      </w:r>
      <w:r w:rsidR="00176C73" w:rsidRPr="00662BA1">
        <w:rPr>
          <w:szCs w:val="28"/>
        </w:rPr>
        <w:t>Of the transfer of money from Account E to accounts in the name of the applicant</w:t>
      </w:r>
      <w:r w:rsidR="00CD33F8">
        <w:rPr>
          <w:szCs w:val="28"/>
        </w:rPr>
        <w:t>,</w:t>
      </w:r>
      <w:r w:rsidR="00176C73" w:rsidRPr="00662BA1">
        <w:rPr>
          <w:szCs w:val="28"/>
        </w:rPr>
        <w:t xml:space="preserve"> the judge noted:</w:t>
      </w:r>
      <w:r w:rsidR="00176C73" w:rsidRPr="00662BA1">
        <w:rPr>
          <w:rStyle w:val="FootnoteReference"/>
          <w:szCs w:val="28"/>
        </w:rPr>
        <w:footnoteReference w:id="205"/>
      </w:r>
    </w:p>
    <w:p w:rsidR="00182DC8" w:rsidRPr="00662BA1" w:rsidRDefault="00C36C1E" w:rsidP="00182DC8">
      <w:pPr>
        <w:pStyle w:val="ListParagraph"/>
        <w:tabs>
          <w:tab w:val="clear" w:pos="1440"/>
          <w:tab w:val="clear" w:pos="4320"/>
          <w:tab w:val="clear" w:pos="9072"/>
          <w:tab w:val="left" w:pos="2074"/>
        </w:tabs>
        <w:snapToGrid/>
        <w:spacing w:before="240"/>
        <w:ind w:left="1454" w:right="835" w:hanging="187"/>
        <w:contextualSpacing w:val="0"/>
        <w:jc w:val="both"/>
        <w:rPr>
          <w:rFonts w:eastAsia="PMingLiU"/>
          <w:sz w:val="24"/>
          <w:szCs w:val="24"/>
          <w:lang w:eastAsia="zh-TW"/>
        </w:rPr>
      </w:pPr>
      <w:r w:rsidRPr="00662BA1">
        <w:rPr>
          <w:rFonts w:eastAsia="PMingLiU"/>
          <w:sz w:val="24"/>
          <w:szCs w:val="24"/>
          <w:lang w:eastAsia="zh-TW"/>
        </w:rPr>
        <w:t>“</w:t>
      </w:r>
      <w:r w:rsidRPr="00662BA1">
        <w:rPr>
          <w:rFonts w:eastAsia="PMingLiU"/>
          <w:sz w:val="24"/>
          <w:szCs w:val="24"/>
          <w:lang w:eastAsia="zh-TW"/>
        </w:rPr>
        <w:tab/>
      </w:r>
      <w:r w:rsidR="00176C73" w:rsidRPr="00662BA1">
        <w:rPr>
          <w:sz w:val="24"/>
          <w:szCs w:val="24"/>
        </w:rPr>
        <w:t xml:space="preserve">According to Mr. Sutton, there were 9 bank transfers </w:t>
      </w:r>
      <w:proofErr w:type="spellStart"/>
      <w:r w:rsidR="00176C73" w:rsidRPr="00662BA1">
        <w:rPr>
          <w:sz w:val="24"/>
          <w:szCs w:val="24"/>
        </w:rPr>
        <w:t>totaling</w:t>
      </w:r>
      <w:proofErr w:type="spellEnd"/>
      <w:r w:rsidR="00176C73" w:rsidRPr="00662BA1">
        <w:rPr>
          <w:sz w:val="24"/>
          <w:szCs w:val="24"/>
        </w:rPr>
        <w:t xml:space="preserve"> $7,450,000 from account E to account A; and 49 transfers totalling $30,320,000 to account B, which represented 37.1% of </w:t>
      </w:r>
      <w:r w:rsidR="00182DC8" w:rsidRPr="00662BA1">
        <w:rPr>
          <w:sz w:val="24"/>
          <w:szCs w:val="24"/>
        </w:rPr>
        <w:t>the value of total withdrawals.</w:t>
      </w:r>
      <w:r w:rsidR="00182DC8" w:rsidRPr="00662BA1">
        <w:rPr>
          <w:rFonts w:eastAsia="PMingLiU" w:hint="eastAsia"/>
          <w:sz w:val="24"/>
          <w:szCs w:val="24"/>
          <w:lang w:eastAsia="zh-TW"/>
        </w:rPr>
        <w:t xml:space="preserve">  </w:t>
      </w:r>
      <w:r w:rsidR="00176C73" w:rsidRPr="00662BA1">
        <w:rPr>
          <w:sz w:val="24"/>
          <w:szCs w:val="24"/>
        </w:rPr>
        <w:t xml:space="preserve">This is a very high percentage and there </w:t>
      </w:r>
      <w:proofErr w:type="gramStart"/>
      <w:r w:rsidR="00176C73" w:rsidRPr="00CD33F8">
        <w:rPr>
          <w:sz w:val="24"/>
          <w:szCs w:val="24"/>
        </w:rPr>
        <w:t>are</w:t>
      </w:r>
      <w:proofErr w:type="gramEnd"/>
      <w:r w:rsidR="00176C73" w:rsidRPr="00662BA1">
        <w:rPr>
          <w:sz w:val="24"/>
          <w:szCs w:val="24"/>
        </w:rPr>
        <w:t xml:space="preserve"> no apparent reason why those money were being transferred </w:t>
      </w:r>
      <w:r w:rsidR="00182DC8" w:rsidRPr="00662BA1">
        <w:rPr>
          <w:sz w:val="24"/>
          <w:szCs w:val="24"/>
        </w:rPr>
        <w:t>into the defendant’s accounts.</w:t>
      </w:r>
      <w:r w:rsidR="00182DC8" w:rsidRPr="00662BA1">
        <w:rPr>
          <w:rFonts w:eastAsia="PMingLiU"/>
          <w:sz w:val="24"/>
          <w:szCs w:val="24"/>
          <w:lang w:eastAsia="zh-TW"/>
        </w:rPr>
        <w:t>”</w:t>
      </w:r>
    </w:p>
    <w:p w:rsidR="00182DC8" w:rsidRPr="00662BA1" w:rsidRDefault="00182DC8" w:rsidP="00182DC8">
      <w:pPr>
        <w:pStyle w:val="ListParagraph"/>
        <w:tabs>
          <w:tab w:val="clear" w:pos="1440"/>
          <w:tab w:val="clear" w:pos="4320"/>
          <w:tab w:val="clear" w:pos="9072"/>
          <w:tab w:val="left" w:pos="2074"/>
        </w:tabs>
        <w:snapToGrid/>
        <w:spacing w:line="80" w:lineRule="exact"/>
        <w:ind w:left="1454" w:right="835" w:hanging="187"/>
        <w:contextualSpacing w:val="0"/>
        <w:jc w:val="both"/>
        <w:rPr>
          <w:rFonts w:eastAsia="PMingLiU"/>
          <w:sz w:val="24"/>
          <w:szCs w:val="24"/>
          <w:lang w:eastAsia="zh-TW"/>
        </w:rPr>
      </w:pPr>
    </w:p>
    <w:p w:rsidR="00176C73" w:rsidRPr="00662BA1" w:rsidRDefault="00176C73" w:rsidP="00182DC8">
      <w:pPr>
        <w:pStyle w:val="ListParagraph"/>
        <w:tabs>
          <w:tab w:val="clear" w:pos="1440"/>
          <w:tab w:val="clear" w:pos="4320"/>
          <w:tab w:val="clear" w:pos="9072"/>
          <w:tab w:val="left" w:pos="2074"/>
        </w:tabs>
        <w:snapToGrid/>
        <w:spacing w:line="80" w:lineRule="exact"/>
        <w:ind w:left="1454" w:right="835" w:hanging="187"/>
        <w:contextualSpacing w:val="0"/>
        <w:jc w:val="both"/>
        <w:rPr>
          <w:sz w:val="24"/>
          <w:szCs w:val="24"/>
        </w:rPr>
      </w:pPr>
    </w:p>
    <w:p w:rsidR="00182DC8" w:rsidRPr="00662BA1" w:rsidRDefault="00052537" w:rsidP="00182DC8">
      <w:pPr>
        <w:pStyle w:val="ListParagraph"/>
        <w:tabs>
          <w:tab w:val="clear" w:pos="4320"/>
          <w:tab w:val="clear" w:pos="9072"/>
        </w:tabs>
        <w:snapToGrid/>
        <w:spacing w:before="360" w:line="360" w:lineRule="auto"/>
        <w:ind w:left="0"/>
        <w:contextualSpacing w:val="0"/>
        <w:jc w:val="both"/>
        <w:rPr>
          <w:rFonts w:eastAsia="PMingLiU"/>
          <w:szCs w:val="28"/>
          <w:lang w:eastAsia="zh-TW"/>
        </w:rPr>
      </w:pPr>
      <w:r w:rsidRPr="00662BA1">
        <w:rPr>
          <w:szCs w:val="28"/>
        </w:rPr>
        <w:fldChar w:fldCharType="begin"/>
      </w:r>
      <w:r w:rsidR="00182DC8" w:rsidRPr="00662BA1">
        <w:rPr>
          <w:szCs w:val="28"/>
        </w:rPr>
        <w:instrText xml:space="preserve"> AUTONUMOUT  </w:instrText>
      </w:r>
      <w:r w:rsidRPr="00662BA1">
        <w:rPr>
          <w:szCs w:val="28"/>
        </w:rPr>
        <w:fldChar w:fldCharType="end"/>
      </w:r>
      <w:r w:rsidR="00182DC8" w:rsidRPr="00662BA1">
        <w:rPr>
          <w:szCs w:val="28"/>
        </w:rPr>
        <w:tab/>
      </w:r>
      <w:r w:rsidR="00176C73" w:rsidRPr="00662BA1">
        <w:rPr>
          <w:szCs w:val="28"/>
        </w:rPr>
        <w:t>Noting that there were deposits of $6,659,000 into A</w:t>
      </w:r>
      <w:r w:rsidR="00182DC8" w:rsidRPr="00662BA1">
        <w:rPr>
          <w:szCs w:val="28"/>
        </w:rPr>
        <w:t>ccount</w:t>
      </w:r>
      <w:r w:rsidR="00182DC8" w:rsidRPr="00662BA1">
        <w:rPr>
          <w:szCs w:val="28"/>
          <w:lang w:val="en-US"/>
        </w:rPr>
        <w:t> </w:t>
      </w:r>
      <w:r w:rsidR="00176C73" w:rsidRPr="00662BA1">
        <w:rPr>
          <w:szCs w:val="28"/>
        </w:rPr>
        <w:t>D and $81,826,428.36 into A</w:t>
      </w:r>
      <w:r w:rsidR="00182DC8" w:rsidRPr="00662BA1">
        <w:rPr>
          <w:szCs w:val="28"/>
        </w:rPr>
        <w:t>ccount</w:t>
      </w:r>
      <w:r w:rsidR="00182DC8" w:rsidRPr="00662BA1">
        <w:rPr>
          <w:szCs w:val="28"/>
          <w:lang w:val="en-US"/>
        </w:rPr>
        <w:t> </w:t>
      </w:r>
      <w:r w:rsidR="00176C73" w:rsidRPr="00662BA1">
        <w:rPr>
          <w:szCs w:val="28"/>
        </w:rPr>
        <w:t>E in t</w:t>
      </w:r>
      <w:r w:rsidR="00182DC8" w:rsidRPr="00662BA1">
        <w:rPr>
          <w:szCs w:val="28"/>
        </w:rPr>
        <w:t xml:space="preserve">he material period, and having </w:t>
      </w:r>
      <w:r w:rsidR="00176C73" w:rsidRPr="00662BA1">
        <w:rPr>
          <w:szCs w:val="28"/>
        </w:rPr>
        <w:t xml:space="preserve">adverted to </w:t>
      </w:r>
      <w:r w:rsidR="00182DC8" w:rsidRPr="00662BA1">
        <w:rPr>
          <w:szCs w:val="28"/>
        </w:rPr>
        <w:t>the background of the applicant</w:t>
      </w:r>
      <w:r w:rsidR="00182DC8" w:rsidRPr="00662BA1">
        <w:rPr>
          <w:rFonts w:eastAsia="PMingLiU"/>
          <w:szCs w:val="28"/>
          <w:lang w:eastAsia="zh-TW"/>
        </w:rPr>
        <w:t>’</w:t>
      </w:r>
      <w:r w:rsidR="00176C73" w:rsidRPr="00662BA1">
        <w:rPr>
          <w:szCs w:val="28"/>
        </w:rPr>
        <w:t>s father</w:t>
      </w:r>
      <w:r w:rsidR="00CD33F8">
        <w:rPr>
          <w:szCs w:val="28"/>
        </w:rPr>
        <w:t>,</w:t>
      </w:r>
      <w:r w:rsidR="00176C73" w:rsidRPr="00662BA1">
        <w:rPr>
          <w:szCs w:val="28"/>
        </w:rPr>
        <w:t xml:space="preserve"> the judge found that there was</w:t>
      </w:r>
      <w:r w:rsidR="00182DC8" w:rsidRPr="00662BA1">
        <w:rPr>
          <w:rFonts w:eastAsia="PMingLiU" w:hint="eastAsia"/>
          <w:szCs w:val="28"/>
          <w:lang w:eastAsia="zh-TW"/>
        </w:rPr>
        <w:t xml:space="preserve"> </w:t>
      </w:r>
      <w:r w:rsidR="00182DC8" w:rsidRPr="00662BA1">
        <w:rPr>
          <w:rFonts w:eastAsia="PMingLiU"/>
          <w:szCs w:val="28"/>
          <w:lang w:eastAsia="zh-TW"/>
        </w:rPr>
        <w:t>“</w:t>
      </w:r>
      <w:r w:rsidR="00176C73" w:rsidRPr="00662BA1">
        <w:rPr>
          <w:szCs w:val="28"/>
        </w:rPr>
        <w:t>no apparent reason for the deposits</w:t>
      </w:r>
      <w:r w:rsidR="00182DC8" w:rsidRPr="00662BA1">
        <w:rPr>
          <w:rFonts w:eastAsia="PMingLiU"/>
          <w:szCs w:val="28"/>
          <w:lang w:eastAsia="zh-TW"/>
        </w:rPr>
        <w:t>”</w:t>
      </w:r>
      <w:r w:rsidR="00176C73" w:rsidRPr="00662BA1">
        <w:rPr>
          <w:szCs w:val="28"/>
        </w:rPr>
        <w:t>.</w:t>
      </w:r>
      <w:r w:rsidR="00176C73" w:rsidRPr="00662BA1">
        <w:rPr>
          <w:rStyle w:val="FootnoteReference"/>
          <w:szCs w:val="28"/>
        </w:rPr>
        <w:footnoteReference w:id="206"/>
      </w:r>
      <w:r w:rsidR="00176C73" w:rsidRPr="00662BA1">
        <w:rPr>
          <w:szCs w:val="28"/>
        </w:rPr>
        <w:t xml:space="preserve"> </w:t>
      </w:r>
      <w:r w:rsidR="00182DC8" w:rsidRPr="00662BA1">
        <w:rPr>
          <w:rFonts w:eastAsia="PMingLiU" w:hint="eastAsia"/>
          <w:szCs w:val="28"/>
          <w:lang w:eastAsia="zh-TW"/>
        </w:rPr>
        <w:t xml:space="preserve"> </w:t>
      </w:r>
      <w:r w:rsidR="00176C73" w:rsidRPr="00662BA1">
        <w:rPr>
          <w:szCs w:val="28"/>
        </w:rPr>
        <w:t xml:space="preserve">Obviously, the latter determination was </w:t>
      </w:r>
      <w:r w:rsidR="00182DC8" w:rsidRPr="00662BA1">
        <w:rPr>
          <w:szCs w:val="28"/>
        </w:rPr>
        <w:t>made having regard to the judge</w:t>
      </w:r>
      <w:r w:rsidR="00182DC8" w:rsidRPr="00662BA1">
        <w:rPr>
          <w:rFonts w:eastAsia="PMingLiU"/>
          <w:szCs w:val="28"/>
          <w:lang w:eastAsia="zh-TW"/>
        </w:rPr>
        <w:t>’</w:t>
      </w:r>
      <w:r w:rsidR="00182DC8" w:rsidRPr="00662BA1">
        <w:rPr>
          <w:szCs w:val="28"/>
        </w:rPr>
        <w:t>s rejection of the applicant</w:t>
      </w:r>
      <w:r w:rsidR="00182DC8" w:rsidRPr="00662BA1">
        <w:rPr>
          <w:rFonts w:eastAsia="PMingLiU"/>
          <w:szCs w:val="28"/>
          <w:lang w:eastAsia="zh-TW"/>
        </w:rPr>
        <w:t>’</w:t>
      </w:r>
      <w:r w:rsidR="00176C73" w:rsidRPr="00662BA1">
        <w:rPr>
          <w:szCs w:val="28"/>
        </w:rPr>
        <w:t>s evidence as to the reason for various deposits, for example the deposit of $10,459,</w:t>
      </w:r>
      <w:r w:rsidR="00182DC8" w:rsidRPr="00662BA1">
        <w:rPr>
          <w:szCs w:val="28"/>
        </w:rPr>
        <w:t>048 from the applicant</w:t>
      </w:r>
      <w:r w:rsidR="00182DC8" w:rsidRPr="00662BA1">
        <w:rPr>
          <w:rFonts w:eastAsia="PMingLiU"/>
          <w:szCs w:val="28"/>
          <w:lang w:eastAsia="zh-TW"/>
        </w:rPr>
        <w:t>’</w:t>
      </w:r>
      <w:r w:rsidR="00182DC8" w:rsidRPr="00662BA1">
        <w:rPr>
          <w:szCs w:val="28"/>
        </w:rPr>
        <w:t>s father</w:t>
      </w:r>
      <w:r w:rsidR="00182DC8" w:rsidRPr="00662BA1">
        <w:rPr>
          <w:rFonts w:eastAsia="PMingLiU"/>
          <w:szCs w:val="28"/>
          <w:lang w:eastAsia="zh-TW"/>
        </w:rPr>
        <w:t>’</w:t>
      </w:r>
      <w:r w:rsidR="00176C73" w:rsidRPr="00662BA1">
        <w:rPr>
          <w:szCs w:val="28"/>
        </w:rPr>
        <w:t>s account wi</w:t>
      </w:r>
      <w:r w:rsidR="00182DC8" w:rsidRPr="00662BA1">
        <w:rPr>
          <w:szCs w:val="28"/>
        </w:rPr>
        <w:t>th Hooray Securities to Account</w:t>
      </w:r>
      <w:r w:rsidR="00182DC8" w:rsidRPr="00662BA1">
        <w:rPr>
          <w:szCs w:val="28"/>
          <w:lang w:val="en-US"/>
        </w:rPr>
        <w:t> </w:t>
      </w:r>
      <w:r w:rsidR="00176C73" w:rsidRPr="00662BA1">
        <w:rPr>
          <w:szCs w:val="28"/>
        </w:rPr>
        <w:t>E.</w:t>
      </w:r>
    </w:p>
    <w:p w:rsidR="00176C73" w:rsidRPr="00662BA1" w:rsidRDefault="00052537" w:rsidP="00182DC8">
      <w:pPr>
        <w:pStyle w:val="ListParagraph"/>
        <w:tabs>
          <w:tab w:val="clear" w:pos="4320"/>
          <w:tab w:val="clear" w:pos="9072"/>
        </w:tabs>
        <w:snapToGrid/>
        <w:spacing w:before="360" w:line="360" w:lineRule="auto"/>
        <w:ind w:left="0"/>
        <w:contextualSpacing w:val="0"/>
        <w:jc w:val="both"/>
        <w:rPr>
          <w:szCs w:val="28"/>
        </w:rPr>
      </w:pPr>
      <w:r w:rsidRPr="00662BA1">
        <w:rPr>
          <w:szCs w:val="28"/>
          <w:lang w:eastAsia="zh-TW"/>
        </w:rPr>
        <w:fldChar w:fldCharType="begin"/>
      </w:r>
      <w:r w:rsidR="00182DC8" w:rsidRPr="00662BA1">
        <w:rPr>
          <w:szCs w:val="28"/>
          <w:lang w:eastAsia="zh-TW"/>
        </w:rPr>
        <w:instrText xml:space="preserve"> </w:instrText>
      </w:r>
      <w:r w:rsidR="00182DC8" w:rsidRPr="00662BA1">
        <w:rPr>
          <w:rFonts w:hint="eastAsia"/>
          <w:szCs w:val="28"/>
          <w:lang w:eastAsia="zh-TW"/>
        </w:rPr>
        <w:instrText xml:space="preserve">AUTONUMOUT </w:instrText>
      </w:r>
      <w:r w:rsidR="00182DC8" w:rsidRPr="00662BA1">
        <w:rPr>
          <w:szCs w:val="28"/>
          <w:lang w:eastAsia="zh-TW"/>
        </w:rPr>
        <w:instrText xml:space="preserve"> </w:instrText>
      </w:r>
      <w:r w:rsidRPr="00662BA1">
        <w:rPr>
          <w:szCs w:val="28"/>
          <w:lang w:eastAsia="zh-TW"/>
        </w:rPr>
        <w:fldChar w:fldCharType="end"/>
      </w:r>
      <w:r w:rsidR="00182DC8" w:rsidRPr="00662BA1">
        <w:rPr>
          <w:szCs w:val="28"/>
          <w:lang w:eastAsia="zh-TW"/>
        </w:rPr>
        <w:tab/>
      </w:r>
      <w:r w:rsidR="00176C73" w:rsidRPr="00662BA1">
        <w:rPr>
          <w:szCs w:val="28"/>
        </w:rPr>
        <w:t xml:space="preserve">Of </w:t>
      </w:r>
      <w:r w:rsidR="00522BE6">
        <w:rPr>
          <w:szCs w:val="28"/>
        </w:rPr>
        <w:t>the background of the applicant’</w:t>
      </w:r>
      <w:r w:rsidR="00176C73" w:rsidRPr="00662BA1">
        <w:rPr>
          <w:szCs w:val="28"/>
        </w:rPr>
        <w:t>s father, in the c</w:t>
      </w:r>
      <w:r w:rsidR="00182DC8" w:rsidRPr="00662BA1">
        <w:rPr>
          <w:szCs w:val="28"/>
        </w:rPr>
        <w:t>ontext of deposits into Account</w:t>
      </w:r>
      <w:r w:rsidR="00182DC8" w:rsidRPr="00662BA1">
        <w:rPr>
          <w:szCs w:val="28"/>
          <w:lang w:val="en-US"/>
        </w:rPr>
        <w:t> </w:t>
      </w:r>
      <w:r w:rsidR="00176C73" w:rsidRPr="00662BA1">
        <w:rPr>
          <w:szCs w:val="28"/>
        </w:rPr>
        <w:t>D, the judge said:</w:t>
      </w:r>
      <w:r w:rsidR="00176C73" w:rsidRPr="00662BA1">
        <w:rPr>
          <w:rStyle w:val="FootnoteReference"/>
          <w:szCs w:val="28"/>
        </w:rPr>
        <w:footnoteReference w:id="207"/>
      </w:r>
    </w:p>
    <w:p w:rsidR="00182DC8" w:rsidRPr="00662BA1" w:rsidRDefault="00182DC8" w:rsidP="00182DC8">
      <w:pPr>
        <w:pStyle w:val="FootnoteText"/>
        <w:tabs>
          <w:tab w:val="left" w:pos="2074"/>
        </w:tabs>
        <w:spacing w:before="240" w:after="0" w:line="240" w:lineRule="auto"/>
        <w:ind w:left="1454" w:right="835" w:hanging="187"/>
        <w:jc w:val="both"/>
        <w:rPr>
          <w:rFonts w:eastAsia="PMingLiU"/>
          <w:sz w:val="24"/>
          <w:szCs w:val="24"/>
          <w:lang w:eastAsia="zh-TW"/>
        </w:rPr>
      </w:pPr>
      <w:r w:rsidRPr="00662BA1">
        <w:rPr>
          <w:rFonts w:eastAsia="PMingLiU"/>
          <w:sz w:val="24"/>
          <w:szCs w:val="24"/>
          <w:lang w:eastAsia="zh-TW"/>
        </w:rPr>
        <w:t>“</w:t>
      </w:r>
      <w:r w:rsidRPr="00662BA1">
        <w:rPr>
          <w:rFonts w:eastAsia="PMingLiU"/>
          <w:sz w:val="24"/>
          <w:szCs w:val="24"/>
          <w:lang w:eastAsia="zh-TW"/>
        </w:rPr>
        <w:tab/>
      </w:r>
      <w:proofErr w:type="spellStart"/>
      <w:r w:rsidR="00176C73" w:rsidRPr="00662BA1">
        <w:rPr>
          <w:sz w:val="24"/>
          <w:szCs w:val="24"/>
        </w:rPr>
        <w:t>Yeung</w:t>
      </w:r>
      <w:proofErr w:type="spellEnd"/>
      <w:r w:rsidR="00176C73" w:rsidRPr="00662BA1">
        <w:rPr>
          <w:sz w:val="24"/>
          <w:szCs w:val="24"/>
        </w:rPr>
        <w:t xml:space="preserve"> Chung’s income and profits derived from his sole proprietorship business “</w:t>
      </w:r>
      <w:proofErr w:type="spellStart"/>
      <w:r w:rsidR="00176C73" w:rsidRPr="00662BA1">
        <w:rPr>
          <w:sz w:val="24"/>
          <w:szCs w:val="24"/>
        </w:rPr>
        <w:t>Yeung</w:t>
      </w:r>
      <w:proofErr w:type="spellEnd"/>
      <w:r w:rsidR="00176C73" w:rsidRPr="00662BA1">
        <w:rPr>
          <w:sz w:val="24"/>
          <w:szCs w:val="24"/>
        </w:rPr>
        <w:t xml:space="preserve"> </w:t>
      </w:r>
      <w:proofErr w:type="spellStart"/>
      <w:r w:rsidR="00176C73" w:rsidRPr="00662BA1">
        <w:rPr>
          <w:sz w:val="24"/>
          <w:szCs w:val="24"/>
        </w:rPr>
        <w:t>Kee</w:t>
      </w:r>
      <w:proofErr w:type="spellEnd"/>
      <w:r w:rsidR="00176C73" w:rsidRPr="00662BA1">
        <w:rPr>
          <w:sz w:val="24"/>
          <w:szCs w:val="24"/>
        </w:rPr>
        <w:t xml:space="preserve"> Vegetable Stall” for the years of assessment from 2004 to 2007 showed profits of $4,060, $1,600 and $1,220 for th</w:t>
      </w:r>
      <w:r w:rsidRPr="00662BA1">
        <w:rPr>
          <w:sz w:val="24"/>
          <w:szCs w:val="24"/>
        </w:rPr>
        <w:t>e 3 year period.  Yet in that 3</w:t>
      </w:r>
      <w:r w:rsidRPr="00662BA1">
        <w:rPr>
          <w:sz w:val="24"/>
          <w:szCs w:val="24"/>
          <w:lang w:val="en-US"/>
        </w:rPr>
        <w:t> </w:t>
      </w:r>
      <w:r w:rsidR="00176C73" w:rsidRPr="00662BA1">
        <w:rPr>
          <w:sz w:val="24"/>
          <w:szCs w:val="24"/>
        </w:rPr>
        <w:t xml:space="preserve">year tax assessment period, there were 5 deposits totalling $840,000 from third parties with no apparent explanation. </w:t>
      </w:r>
      <w:r w:rsidRPr="00662BA1">
        <w:rPr>
          <w:rFonts w:eastAsia="PMingLiU" w:hint="eastAsia"/>
          <w:sz w:val="24"/>
          <w:szCs w:val="24"/>
          <w:lang w:eastAsia="zh-TW"/>
        </w:rPr>
        <w:t xml:space="preserve"> </w:t>
      </w:r>
      <w:r w:rsidR="00176C73" w:rsidRPr="00662BA1">
        <w:rPr>
          <w:sz w:val="24"/>
          <w:szCs w:val="24"/>
        </w:rPr>
        <w:t xml:space="preserve">They are not securities companies and so should not be related to his purported share dealings. </w:t>
      </w:r>
      <w:r w:rsidRPr="00662BA1">
        <w:rPr>
          <w:rFonts w:eastAsia="PMingLiU" w:hint="eastAsia"/>
          <w:sz w:val="24"/>
          <w:szCs w:val="24"/>
          <w:lang w:eastAsia="zh-TW"/>
        </w:rPr>
        <w:t xml:space="preserve"> </w:t>
      </w:r>
      <w:r w:rsidR="00176C73" w:rsidRPr="00662BA1">
        <w:rPr>
          <w:sz w:val="24"/>
          <w:szCs w:val="24"/>
        </w:rPr>
        <w:t>It is not known why those dep</w:t>
      </w:r>
      <w:r w:rsidRPr="00662BA1">
        <w:rPr>
          <w:sz w:val="24"/>
          <w:szCs w:val="24"/>
        </w:rPr>
        <w:t>osits were made into account D.</w:t>
      </w:r>
      <w:r w:rsidRPr="00662BA1">
        <w:rPr>
          <w:rFonts w:eastAsia="PMingLiU"/>
          <w:sz w:val="24"/>
          <w:szCs w:val="24"/>
          <w:lang w:eastAsia="zh-TW"/>
        </w:rPr>
        <w:t>”</w:t>
      </w:r>
    </w:p>
    <w:p w:rsidR="00182DC8" w:rsidRPr="00662BA1" w:rsidRDefault="00182DC8" w:rsidP="00182DC8">
      <w:pPr>
        <w:pStyle w:val="FootnoteText"/>
        <w:tabs>
          <w:tab w:val="left" w:pos="2074"/>
        </w:tabs>
        <w:spacing w:after="0" w:line="80" w:lineRule="exact"/>
        <w:ind w:left="1454" w:right="835" w:hanging="187"/>
        <w:jc w:val="both"/>
        <w:rPr>
          <w:rFonts w:eastAsia="PMingLiU"/>
          <w:sz w:val="24"/>
          <w:szCs w:val="24"/>
          <w:lang w:eastAsia="zh-TW"/>
        </w:rPr>
      </w:pPr>
    </w:p>
    <w:p w:rsidR="00176C73" w:rsidRPr="00662BA1" w:rsidRDefault="00176C73" w:rsidP="00182DC8">
      <w:pPr>
        <w:pStyle w:val="FootnoteText"/>
        <w:tabs>
          <w:tab w:val="left" w:pos="2074"/>
        </w:tabs>
        <w:spacing w:after="0" w:line="80" w:lineRule="exact"/>
        <w:ind w:left="1454" w:right="835" w:hanging="187"/>
        <w:jc w:val="both"/>
        <w:rPr>
          <w:szCs w:val="28"/>
        </w:rPr>
      </w:pPr>
    </w:p>
    <w:p w:rsidR="00176C73" w:rsidRPr="00662BA1" w:rsidRDefault="00052537" w:rsidP="00182DC8">
      <w:pPr>
        <w:pStyle w:val="ListParagraph"/>
        <w:snapToGrid/>
        <w:spacing w:before="360" w:line="360" w:lineRule="auto"/>
        <w:ind w:left="0"/>
        <w:jc w:val="both"/>
        <w:rPr>
          <w:szCs w:val="28"/>
        </w:rPr>
      </w:pPr>
      <w:r w:rsidRPr="00662BA1">
        <w:rPr>
          <w:szCs w:val="28"/>
        </w:rPr>
        <w:fldChar w:fldCharType="begin"/>
      </w:r>
      <w:r w:rsidR="00182DC8" w:rsidRPr="00662BA1">
        <w:rPr>
          <w:szCs w:val="28"/>
        </w:rPr>
        <w:instrText xml:space="preserve"> AUTONUMOUT  </w:instrText>
      </w:r>
      <w:r w:rsidRPr="00662BA1">
        <w:rPr>
          <w:szCs w:val="28"/>
        </w:rPr>
        <w:fldChar w:fldCharType="end"/>
      </w:r>
      <w:r w:rsidR="00182DC8" w:rsidRPr="00662BA1">
        <w:rPr>
          <w:szCs w:val="28"/>
        </w:rPr>
        <w:tab/>
      </w:r>
      <w:r w:rsidR="00176C73" w:rsidRPr="00662BA1">
        <w:rPr>
          <w:szCs w:val="28"/>
        </w:rPr>
        <w:t>Similarly, in respect of the deposits into Account E, the judge said:</w:t>
      </w:r>
      <w:r w:rsidR="00176C73" w:rsidRPr="00662BA1">
        <w:rPr>
          <w:rStyle w:val="FootnoteReference"/>
          <w:szCs w:val="28"/>
        </w:rPr>
        <w:footnoteReference w:id="208"/>
      </w:r>
    </w:p>
    <w:p w:rsidR="00E57DEB" w:rsidRDefault="00182DC8" w:rsidP="00E57DEB">
      <w:pPr>
        <w:pStyle w:val="ListParagraph"/>
        <w:tabs>
          <w:tab w:val="clear" w:pos="1440"/>
          <w:tab w:val="clear" w:pos="4320"/>
          <w:tab w:val="clear" w:pos="9072"/>
          <w:tab w:val="left" w:pos="2074"/>
        </w:tabs>
        <w:snapToGrid/>
        <w:spacing w:before="240"/>
        <w:ind w:left="1454" w:right="835" w:hanging="187"/>
        <w:jc w:val="both"/>
        <w:rPr>
          <w:rFonts w:eastAsia="PMingLiU"/>
          <w:sz w:val="24"/>
          <w:szCs w:val="24"/>
          <w:lang w:eastAsia="zh-TW"/>
        </w:rPr>
      </w:pPr>
      <w:r w:rsidRPr="00662BA1">
        <w:rPr>
          <w:rFonts w:eastAsia="PMingLiU"/>
          <w:sz w:val="24"/>
          <w:szCs w:val="24"/>
          <w:lang w:eastAsia="zh-TW"/>
        </w:rPr>
        <w:t>“</w:t>
      </w:r>
      <w:r w:rsidRPr="00662BA1">
        <w:rPr>
          <w:rFonts w:eastAsia="PMingLiU"/>
          <w:sz w:val="24"/>
          <w:szCs w:val="24"/>
          <w:lang w:eastAsia="zh-TW"/>
        </w:rPr>
        <w:tab/>
      </w:r>
      <w:r w:rsidR="00176C73" w:rsidRPr="00662BA1">
        <w:rPr>
          <w:sz w:val="24"/>
          <w:szCs w:val="24"/>
        </w:rPr>
        <w:t xml:space="preserve">Bearing in mind the tax records of </w:t>
      </w:r>
      <w:proofErr w:type="spellStart"/>
      <w:r w:rsidR="00176C73" w:rsidRPr="00662BA1">
        <w:rPr>
          <w:sz w:val="24"/>
          <w:szCs w:val="24"/>
        </w:rPr>
        <w:t>Yeung</w:t>
      </w:r>
      <w:proofErr w:type="spellEnd"/>
      <w:r w:rsidR="00176C73" w:rsidRPr="00662BA1">
        <w:rPr>
          <w:sz w:val="24"/>
          <w:szCs w:val="24"/>
        </w:rPr>
        <w:t xml:space="preserve"> Chung in the period that are available and the fact that he used to run a vegetable stall as his business with only a small taxable income, the amounts of money going through this account are staggering. </w:t>
      </w:r>
      <w:r w:rsidRPr="00662BA1">
        <w:rPr>
          <w:rFonts w:eastAsia="PMingLiU" w:hint="eastAsia"/>
          <w:sz w:val="24"/>
          <w:szCs w:val="24"/>
          <w:lang w:eastAsia="zh-TW"/>
        </w:rPr>
        <w:t xml:space="preserve"> </w:t>
      </w:r>
      <w:r w:rsidRPr="00662BA1">
        <w:rPr>
          <w:sz w:val="24"/>
          <w:szCs w:val="24"/>
        </w:rPr>
        <w:t>On average, $1</w:t>
      </w:r>
      <w:r w:rsidRPr="00662BA1">
        <w:rPr>
          <w:sz w:val="24"/>
          <w:szCs w:val="24"/>
          <w:lang w:val="en-US"/>
        </w:rPr>
        <w:t> </w:t>
      </w:r>
      <w:r w:rsidR="00176C73" w:rsidRPr="00662BA1">
        <w:rPr>
          <w:sz w:val="24"/>
          <w:szCs w:val="24"/>
        </w:rPr>
        <w:t>million was being de</w:t>
      </w:r>
      <w:r w:rsidRPr="00662BA1">
        <w:rPr>
          <w:sz w:val="24"/>
          <w:szCs w:val="24"/>
        </w:rPr>
        <w:t>posited each month into account</w:t>
      </w:r>
      <w:r w:rsidRPr="00662BA1">
        <w:rPr>
          <w:sz w:val="24"/>
          <w:szCs w:val="24"/>
          <w:lang w:val="en-US"/>
        </w:rPr>
        <w:t> </w:t>
      </w:r>
      <w:r w:rsidR="00176C73" w:rsidRPr="00662BA1">
        <w:rPr>
          <w:sz w:val="24"/>
          <w:szCs w:val="24"/>
        </w:rPr>
        <w:t xml:space="preserve">E either by way of cash, check deposits, or transfers. </w:t>
      </w:r>
      <w:r w:rsidRPr="00662BA1">
        <w:rPr>
          <w:rFonts w:eastAsia="PMingLiU" w:hint="eastAsia"/>
          <w:sz w:val="24"/>
          <w:szCs w:val="24"/>
          <w:lang w:eastAsia="zh-TW"/>
        </w:rPr>
        <w:t xml:space="preserve"> </w:t>
      </w:r>
      <w:r w:rsidR="00176C73" w:rsidRPr="00662BA1">
        <w:rPr>
          <w:sz w:val="24"/>
          <w:szCs w:val="24"/>
        </w:rPr>
        <w:t>At the same time, an average of $1 million was also withdrawn each month.</w:t>
      </w:r>
      <w:r w:rsidRPr="00662BA1">
        <w:rPr>
          <w:rFonts w:eastAsia="PMingLiU"/>
          <w:sz w:val="24"/>
          <w:szCs w:val="24"/>
          <w:lang w:eastAsia="zh-TW"/>
        </w:rPr>
        <w:t>”</w:t>
      </w:r>
    </w:p>
    <w:p w:rsidR="00E57DEB" w:rsidRDefault="00E57DEB" w:rsidP="00E57DEB">
      <w:pPr>
        <w:pStyle w:val="ListParagraph"/>
        <w:tabs>
          <w:tab w:val="clear" w:pos="1440"/>
          <w:tab w:val="clear" w:pos="4320"/>
          <w:tab w:val="clear" w:pos="9072"/>
          <w:tab w:val="left" w:pos="2074"/>
        </w:tabs>
        <w:snapToGrid/>
        <w:spacing w:line="80" w:lineRule="exact"/>
        <w:ind w:left="1454" w:right="835" w:hanging="187"/>
        <w:jc w:val="both"/>
        <w:rPr>
          <w:rFonts w:eastAsia="PMingLiU"/>
          <w:sz w:val="24"/>
          <w:szCs w:val="24"/>
          <w:lang w:eastAsia="zh-TW"/>
        </w:rPr>
      </w:pPr>
    </w:p>
    <w:p w:rsidR="00EE31CA" w:rsidRDefault="00EE31CA" w:rsidP="00E57DEB">
      <w:pPr>
        <w:pStyle w:val="ListParagraph"/>
        <w:tabs>
          <w:tab w:val="clear" w:pos="1440"/>
          <w:tab w:val="clear" w:pos="4320"/>
          <w:tab w:val="clear" w:pos="9072"/>
          <w:tab w:val="left" w:pos="2074"/>
        </w:tabs>
        <w:snapToGrid/>
        <w:spacing w:line="80" w:lineRule="exact"/>
        <w:ind w:left="1454" w:right="835" w:hanging="187"/>
        <w:jc w:val="both"/>
        <w:rPr>
          <w:szCs w:val="28"/>
        </w:rPr>
      </w:pPr>
    </w:p>
    <w:p w:rsidR="00EE31CA" w:rsidRDefault="00052537" w:rsidP="00EE31CA">
      <w:pPr>
        <w:pStyle w:val="ListParagraph"/>
        <w:tabs>
          <w:tab w:val="clear" w:pos="4320"/>
          <w:tab w:val="clear" w:pos="9072"/>
        </w:tabs>
        <w:snapToGrid/>
        <w:spacing w:before="360" w:line="360" w:lineRule="auto"/>
        <w:ind w:left="0"/>
        <w:contextualSpacing w:val="0"/>
        <w:jc w:val="both"/>
        <w:rPr>
          <w:szCs w:val="28"/>
        </w:rPr>
      </w:pPr>
      <w:r>
        <w:rPr>
          <w:szCs w:val="28"/>
        </w:rPr>
        <w:fldChar w:fldCharType="begin"/>
      </w:r>
      <w:r w:rsidR="00EE31CA">
        <w:rPr>
          <w:szCs w:val="28"/>
        </w:rPr>
        <w:instrText xml:space="preserve"> AUTONUMOUT  </w:instrText>
      </w:r>
      <w:r>
        <w:rPr>
          <w:szCs w:val="28"/>
        </w:rPr>
        <w:fldChar w:fldCharType="end"/>
      </w:r>
      <w:r w:rsidR="00EE31CA">
        <w:rPr>
          <w:szCs w:val="28"/>
        </w:rPr>
        <w:tab/>
      </w:r>
      <w:r w:rsidR="00176C73" w:rsidRPr="00662BA1">
        <w:rPr>
          <w:szCs w:val="28"/>
        </w:rPr>
        <w:t>Of the relationship between t</w:t>
      </w:r>
      <w:r w:rsidR="00182DC8" w:rsidRPr="00662BA1">
        <w:rPr>
          <w:szCs w:val="28"/>
        </w:rPr>
        <w:t xml:space="preserve">he </w:t>
      </w:r>
      <w:proofErr w:type="gramStart"/>
      <w:r w:rsidR="00182DC8" w:rsidRPr="00662BA1">
        <w:rPr>
          <w:szCs w:val="28"/>
        </w:rPr>
        <w:t>tax</w:t>
      </w:r>
      <w:proofErr w:type="gramEnd"/>
      <w:r w:rsidR="00182DC8" w:rsidRPr="00662BA1">
        <w:rPr>
          <w:szCs w:val="28"/>
        </w:rPr>
        <w:t xml:space="preserve"> records of the applicant</w:t>
      </w:r>
      <w:r w:rsidR="00182DC8" w:rsidRPr="00662BA1">
        <w:rPr>
          <w:rFonts w:eastAsia="PMingLiU"/>
          <w:szCs w:val="28"/>
          <w:lang w:eastAsia="zh-TW"/>
        </w:rPr>
        <w:t>’</w:t>
      </w:r>
      <w:r w:rsidR="00176C73" w:rsidRPr="00662BA1">
        <w:rPr>
          <w:szCs w:val="28"/>
        </w:rPr>
        <w:t>s father and</w:t>
      </w:r>
      <w:r w:rsidR="00182DC8" w:rsidRPr="00662BA1">
        <w:rPr>
          <w:szCs w:val="28"/>
        </w:rPr>
        <w:t xml:space="preserve"> the deposits made into </w:t>
      </w:r>
      <w:r w:rsidR="009652D9">
        <w:rPr>
          <w:szCs w:val="28"/>
        </w:rPr>
        <w:t>A</w:t>
      </w:r>
      <w:r w:rsidR="00182DC8" w:rsidRPr="00662BA1">
        <w:rPr>
          <w:szCs w:val="28"/>
        </w:rPr>
        <w:t>ccount</w:t>
      </w:r>
      <w:r w:rsidR="00182DC8" w:rsidRPr="00662BA1">
        <w:rPr>
          <w:szCs w:val="28"/>
          <w:lang w:val="en-US"/>
        </w:rPr>
        <w:t> </w:t>
      </w:r>
      <w:r w:rsidR="00176C73" w:rsidRPr="00662BA1">
        <w:rPr>
          <w:szCs w:val="28"/>
        </w:rPr>
        <w:t>E in the same time period the judge said:</w:t>
      </w:r>
      <w:r w:rsidR="00176C73" w:rsidRPr="00662BA1">
        <w:rPr>
          <w:rStyle w:val="FootnoteReference"/>
          <w:szCs w:val="28"/>
        </w:rPr>
        <w:footnoteReference w:id="209"/>
      </w:r>
    </w:p>
    <w:p w:rsidR="00A76E92" w:rsidRPr="00662BA1" w:rsidRDefault="00182DC8" w:rsidP="00182DC8">
      <w:pPr>
        <w:pStyle w:val="ListParagraph"/>
        <w:tabs>
          <w:tab w:val="clear" w:pos="4320"/>
          <w:tab w:val="clear" w:pos="9072"/>
          <w:tab w:val="left" w:pos="2074"/>
        </w:tabs>
        <w:snapToGrid/>
        <w:spacing w:before="240"/>
        <w:ind w:left="1454" w:right="835" w:hanging="187"/>
        <w:contextualSpacing w:val="0"/>
        <w:jc w:val="both"/>
        <w:rPr>
          <w:rFonts w:eastAsia="PMingLiU"/>
          <w:sz w:val="24"/>
          <w:szCs w:val="24"/>
          <w:lang w:eastAsia="zh-TW"/>
        </w:rPr>
      </w:pPr>
      <w:r w:rsidRPr="00662BA1">
        <w:rPr>
          <w:rFonts w:eastAsia="PMingLiU"/>
          <w:sz w:val="24"/>
          <w:szCs w:val="24"/>
          <w:lang w:eastAsia="zh-TW"/>
        </w:rPr>
        <w:t>“</w:t>
      </w:r>
      <w:r w:rsidRPr="00662BA1">
        <w:rPr>
          <w:rFonts w:eastAsia="PMingLiU"/>
          <w:sz w:val="24"/>
          <w:szCs w:val="24"/>
          <w:lang w:eastAsia="zh-TW"/>
        </w:rPr>
        <w:tab/>
      </w:r>
      <w:r w:rsidRPr="00662BA1">
        <w:rPr>
          <w:rFonts w:eastAsia="PMingLiU"/>
          <w:sz w:val="24"/>
          <w:szCs w:val="24"/>
          <w:lang w:eastAsia="zh-TW"/>
        </w:rPr>
        <w:tab/>
      </w:r>
      <w:r w:rsidRPr="00662BA1">
        <w:rPr>
          <w:rFonts w:eastAsia="PMingLiU" w:hint="eastAsia"/>
          <w:sz w:val="24"/>
          <w:szCs w:val="24"/>
          <w:lang w:eastAsia="zh-TW"/>
        </w:rPr>
        <w:t>A</w:t>
      </w:r>
      <w:r w:rsidR="00176C73" w:rsidRPr="00662BA1">
        <w:rPr>
          <w:sz w:val="24"/>
          <w:szCs w:val="24"/>
        </w:rPr>
        <w:t xml:space="preserve">ccording to tax records, for the tax period from 2004 to 2007, </w:t>
      </w:r>
      <w:proofErr w:type="spellStart"/>
      <w:r w:rsidR="00176C73" w:rsidRPr="00662BA1">
        <w:rPr>
          <w:sz w:val="24"/>
          <w:szCs w:val="24"/>
        </w:rPr>
        <w:t>Yeung</w:t>
      </w:r>
      <w:proofErr w:type="spellEnd"/>
      <w:r w:rsidR="00176C73" w:rsidRPr="00662BA1">
        <w:rPr>
          <w:sz w:val="24"/>
          <w:szCs w:val="24"/>
        </w:rPr>
        <w:t xml:space="preserve"> Chung made just a few thousand dollars’ profits from his vegetable stall. </w:t>
      </w:r>
      <w:r w:rsidR="00A76E92" w:rsidRPr="00662BA1">
        <w:rPr>
          <w:rFonts w:eastAsia="PMingLiU" w:hint="eastAsia"/>
          <w:sz w:val="24"/>
          <w:szCs w:val="24"/>
          <w:lang w:eastAsia="zh-TW"/>
        </w:rPr>
        <w:t xml:space="preserve"> </w:t>
      </w:r>
      <w:r w:rsidR="00176C73" w:rsidRPr="00662BA1">
        <w:rPr>
          <w:sz w:val="24"/>
          <w:szCs w:val="24"/>
        </w:rPr>
        <w:t>Yet from 1</w:t>
      </w:r>
      <w:r w:rsidR="00176C73" w:rsidRPr="00662BA1">
        <w:rPr>
          <w:sz w:val="24"/>
          <w:szCs w:val="24"/>
          <w:vertAlign w:val="superscript"/>
        </w:rPr>
        <w:t>st</w:t>
      </w:r>
      <w:r w:rsidR="00176C73" w:rsidRPr="00662BA1">
        <w:rPr>
          <w:sz w:val="24"/>
          <w:szCs w:val="24"/>
        </w:rPr>
        <w:t xml:space="preserve"> April 2004 to 31</w:t>
      </w:r>
      <w:r w:rsidR="00CD33F8">
        <w:rPr>
          <w:sz w:val="24"/>
          <w:szCs w:val="24"/>
        </w:rPr>
        <w:t xml:space="preserve"> </w:t>
      </w:r>
      <w:r w:rsidR="00176C73" w:rsidRPr="00662BA1">
        <w:rPr>
          <w:sz w:val="24"/>
          <w:szCs w:val="24"/>
        </w:rPr>
        <w:t>March 2007, a total of $43,726,674 had been deposited into account E by third parties alone.</w:t>
      </w:r>
      <w:r w:rsidR="00A76E92" w:rsidRPr="00662BA1">
        <w:rPr>
          <w:rFonts w:eastAsia="PMingLiU"/>
          <w:sz w:val="24"/>
          <w:szCs w:val="24"/>
          <w:lang w:eastAsia="zh-TW"/>
        </w:rPr>
        <w:t>”</w:t>
      </w:r>
    </w:p>
    <w:p w:rsidR="00A76E92" w:rsidRPr="00662BA1" w:rsidRDefault="00A76E92" w:rsidP="00A76E92">
      <w:pPr>
        <w:pStyle w:val="ListParagraph"/>
        <w:tabs>
          <w:tab w:val="clear" w:pos="4320"/>
          <w:tab w:val="clear" w:pos="9072"/>
          <w:tab w:val="left" w:pos="2074"/>
        </w:tabs>
        <w:snapToGrid/>
        <w:spacing w:line="80" w:lineRule="exact"/>
        <w:ind w:left="1454" w:right="835" w:hanging="187"/>
        <w:contextualSpacing w:val="0"/>
        <w:jc w:val="both"/>
        <w:rPr>
          <w:rFonts w:eastAsia="PMingLiU"/>
          <w:sz w:val="24"/>
          <w:szCs w:val="24"/>
          <w:lang w:eastAsia="zh-TW"/>
        </w:rPr>
      </w:pPr>
    </w:p>
    <w:p w:rsidR="00176C73" w:rsidRPr="00662BA1" w:rsidRDefault="00176C73" w:rsidP="00A76E92">
      <w:pPr>
        <w:pStyle w:val="ListParagraph"/>
        <w:tabs>
          <w:tab w:val="clear" w:pos="4320"/>
          <w:tab w:val="clear" w:pos="9072"/>
          <w:tab w:val="left" w:pos="2074"/>
        </w:tabs>
        <w:snapToGrid/>
        <w:spacing w:line="80" w:lineRule="exact"/>
        <w:ind w:left="1454" w:right="835" w:hanging="187"/>
        <w:contextualSpacing w:val="0"/>
        <w:jc w:val="both"/>
        <w:rPr>
          <w:rFonts w:eastAsia="PMingLiU"/>
          <w:szCs w:val="28"/>
          <w:lang w:eastAsia="zh-TW"/>
        </w:rPr>
      </w:pPr>
    </w:p>
    <w:p w:rsidR="006F5EBE" w:rsidRPr="00662BA1" w:rsidRDefault="00052537" w:rsidP="006F5EBE">
      <w:pPr>
        <w:tabs>
          <w:tab w:val="clear" w:pos="4320"/>
          <w:tab w:val="clear" w:pos="9072"/>
        </w:tabs>
        <w:snapToGrid/>
        <w:spacing w:before="360" w:line="360" w:lineRule="auto"/>
        <w:jc w:val="both"/>
        <w:rPr>
          <w:rFonts w:eastAsia="PMingLiU"/>
          <w:lang w:eastAsia="zh-TW"/>
        </w:rPr>
      </w:pPr>
      <w:r w:rsidRPr="00662BA1">
        <w:fldChar w:fldCharType="begin"/>
      </w:r>
      <w:r w:rsidR="00A76E92" w:rsidRPr="00662BA1">
        <w:instrText xml:space="preserve"> AUTONUMOUT  </w:instrText>
      </w:r>
      <w:r w:rsidRPr="00662BA1">
        <w:fldChar w:fldCharType="end"/>
      </w:r>
      <w:r w:rsidR="00A76E92" w:rsidRPr="00662BA1">
        <w:tab/>
      </w:r>
      <w:r w:rsidR="00176C73" w:rsidRPr="00662BA1">
        <w:t>Clearly, the judge was entitled to have regard to the declared income of the appli</w:t>
      </w:r>
      <w:r w:rsidR="00A76E92" w:rsidRPr="00662BA1">
        <w:t>cant</w:t>
      </w:r>
      <w:r w:rsidR="00A76E92" w:rsidRPr="00662BA1">
        <w:rPr>
          <w:rFonts w:eastAsia="PMingLiU"/>
          <w:lang w:eastAsia="zh-TW"/>
        </w:rPr>
        <w:t>’</w:t>
      </w:r>
      <w:r w:rsidR="00176C73" w:rsidRPr="00662BA1">
        <w:t>s father in considering the provenance and reasons for the deposits into those accounts.</w:t>
      </w:r>
    </w:p>
    <w:p w:rsidR="006F5EBE" w:rsidRPr="00662BA1" w:rsidRDefault="00052537" w:rsidP="006F5EBE">
      <w:pPr>
        <w:tabs>
          <w:tab w:val="clear" w:pos="4320"/>
          <w:tab w:val="clear" w:pos="9072"/>
        </w:tabs>
        <w:snapToGrid/>
        <w:spacing w:before="360" w:line="360" w:lineRule="auto"/>
        <w:jc w:val="both"/>
        <w:rPr>
          <w:rFonts w:eastAsia="PMingLiU"/>
          <w:lang w:eastAsia="zh-TW"/>
        </w:rPr>
      </w:pPr>
      <w:r w:rsidRPr="00662BA1">
        <w:rPr>
          <w:lang w:eastAsia="zh-TW"/>
        </w:rPr>
        <w:fldChar w:fldCharType="begin"/>
      </w:r>
      <w:r w:rsidR="006F5EBE" w:rsidRPr="00662BA1">
        <w:rPr>
          <w:lang w:eastAsia="zh-TW"/>
        </w:rPr>
        <w:instrText xml:space="preserve"> </w:instrText>
      </w:r>
      <w:r w:rsidR="006F5EBE" w:rsidRPr="00662BA1">
        <w:rPr>
          <w:rFonts w:hint="eastAsia"/>
          <w:lang w:eastAsia="zh-TW"/>
        </w:rPr>
        <w:instrText xml:space="preserve">AUTONUMOUT </w:instrText>
      </w:r>
      <w:r w:rsidR="006F5EBE" w:rsidRPr="00662BA1">
        <w:rPr>
          <w:lang w:eastAsia="zh-TW"/>
        </w:rPr>
        <w:instrText xml:space="preserve"> </w:instrText>
      </w:r>
      <w:r w:rsidRPr="00662BA1">
        <w:rPr>
          <w:lang w:eastAsia="zh-TW"/>
        </w:rPr>
        <w:fldChar w:fldCharType="end"/>
      </w:r>
      <w:r w:rsidR="006F5EBE" w:rsidRPr="00662BA1">
        <w:rPr>
          <w:lang w:eastAsia="zh-TW"/>
        </w:rPr>
        <w:tab/>
      </w:r>
      <w:r w:rsidR="00176C73" w:rsidRPr="00662BA1">
        <w:t>There is no force in the complaint made on behalf of the applicant that the judge had erred in not having regard to the evidence that the applicant and his father had been involved in a successful hotel project in the Mainland in 1991-4.  The judge noted</w:t>
      </w:r>
      <w:r w:rsidR="006F5EBE" w:rsidRPr="00662BA1">
        <w:t xml:space="preserve"> that it was the evidence of Mr</w:t>
      </w:r>
      <w:r w:rsidR="00522BE6">
        <w:rPr>
          <w:lang w:val="en-US"/>
        </w:rPr>
        <w:t> </w:t>
      </w:r>
      <w:r w:rsidR="00176C73" w:rsidRPr="00662BA1">
        <w:t>Yang Wu Chu</w:t>
      </w:r>
      <w:r w:rsidR="006F5EBE" w:rsidRPr="00662BA1">
        <w:t xml:space="preserve">n that its operations produced </w:t>
      </w:r>
      <w:r w:rsidR="006F5EBE" w:rsidRPr="00662BA1">
        <w:rPr>
          <w:rFonts w:eastAsia="PMingLiU"/>
          <w:lang w:eastAsia="zh-TW"/>
        </w:rPr>
        <w:t>“</w:t>
      </w:r>
      <w:r w:rsidR="00522BE6">
        <w:t>an overall profit of RMB</w:t>
      </w:r>
      <w:proofErr w:type="gramStart"/>
      <w:r w:rsidR="00522BE6">
        <w:t>  </w:t>
      </w:r>
      <w:r w:rsidR="00176C73" w:rsidRPr="00662BA1">
        <w:t>2</w:t>
      </w:r>
      <w:proofErr w:type="gramEnd"/>
      <w:r w:rsidR="00176C73" w:rsidRPr="00662BA1">
        <w:t xml:space="preserve"> to 3 million.</w:t>
      </w:r>
      <w:r w:rsidR="006F5EBE" w:rsidRPr="00662BA1">
        <w:rPr>
          <w:rFonts w:eastAsia="PMingLiU"/>
          <w:lang w:eastAsia="zh-TW"/>
        </w:rPr>
        <w:t>”</w:t>
      </w:r>
      <w:r w:rsidR="006F5EBE" w:rsidRPr="00662BA1">
        <w:rPr>
          <w:rFonts w:eastAsia="PMingLiU" w:hint="eastAsia"/>
          <w:lang w:eastAsia="zh-TW"/>
        </w:rPr>
        <w:t> </w:t>
      </w:r>
      <w:r w:rsidR="00176C73" w:rsidRPr="00662BA1">
        <w:rPr>
          <w:rStyle w:val="FootnoteReference"/>
        </w:rPr>
        <w:footnoteReference w:id="210"/>
      </w:r>
      <w:r w:rsidR="00176C73" w:rsidRPr="00662BA1">
        <w:t xml:space="preserve"> </w:t>
      </w:r>
      <w:r w:rsidR="006F5EBE" w:rsidRPr="00662BA1">
        <w:rPr>
          <w:lang w:val="en-US"/>
        </w:rPr>
        <w:t xml:space="preserve"> </w:t>
      </w:r>
      <w:r w:rsidR="00176C73" w:rsidRPr="00662BA1">
        <w:t>Similarly, the judge noted that the applicant testified that he and his fath</w:t>
      </w:r>
      <w:r w:rsidR="006F5EBE" w:rsidRPr="00662BA1">
        <w:t>er shared a profit of about RMB</w:t>
      </w:r>
      <w:r w:rsidR="006F5EBE" w:rsidRPr="00662BA1">
        <w:rPr>
          <w:lang w:val="en-US"/>
        </w:rPr>
        <w:t> </w:t>
      </w:r>
      <w:r w:rsidR="006F5EBE" w:rsidRPr="00662BA1">
        <w:t>3</w:t>
      </w:r>
      <w:r w:rsidR="006F5EBE" w:rsidRPr="00662BA1">
        <w:rPr>
          <w:lang w:val="en-US"/>
        </w:rPr>
        <w:t> </w:t>
      </w:r>
      <w:r w:rsidR="00176C73" w:rsidRPr="00662BA1">
        <w:t xml:space="preserve">million on the sale of the hotel, with the latter taking a 60% share. </w:t>
      </w:r>
      <w:r w:rsidR="006F5EBE" w:rsidRPr="00662BA1">
        <w:rPr>
          <w:rFonts w:eastAsia="PMingLiU" w:hint="eastAsia"/>
          <w:lang w:eastAsia="zh-TW"/>
        </w:rPr>
        <w:t xml:space="preserve"> </w:t>
      </w:r>
      <w:r w:rsidR="00176C73" w:rsidRPr="00662BA1">
        <w:t>Further that the applicant’s 40% share of the profits of r</w:t>
      </w:r>
      <w:r w:rsidR="006F5EBE" w:rsidRPr="00662BA1">
        <w:t>unning the hotel amounted to HK$1</w:t>
      </w:r>
      <w:r w:rsidR="006F5EBE" w:rsidRPr="00662BA1">
        <w:rPr>
          <w:lang w:val="en-US"/>
        </w:rPr>
        <w:t> </w:t>
      </w:r>
      <w:r w:rsidR="00176C73" w:rsidRPr="00662BA1">
        <w:t>million.</w:t>
      </w:r>
      <w:r w:rsidR="00AC2E71">
        <w:rPr>
          <w:rStyle w:val="FootnoteReference"/>
        </w:rPr>
        <w:footnoteReference w:id="211"/>
      </w:r>
      <w:r w:rsidR="00522BE6">
        <w:rPr>
          <w:rFonts w:eastAsia="PMingLiU"/>
          <w:lang w:eastAsia="zh-TW"/>
        </w:rPr>
        <w:t xml:space="preserve">  </w:t>
      </w:r>
      <w:r w:rsidR="00176C73" w:rsidRPr="00662BA1">
        <w:t>It was not suggested and there was no evidence th</w:t>
      </w:r>
      <w:r w:rsidR="006F5EBE" w:rsidRPr="00662BA1">
        <w:t>at whatever money the applicant</w:t>
      </w:r>
      <w:r w:rsidR="006F5EBE" w:rsidRPr="00662BA1">
        <w:rPr>
          <w:rFonts w:eastAsia="PMingLiU"/>
          <w:lang w:eastAsia="zh-TW"/>
        </w:rPr>
        <w:t>’</w:t>
      </w:r>
      <w:r w:rsidR="00176C73" w:rsidRPr="00662BA1">
        <w:t>s father might have gained in that project a decade earlier was in anyway related to deposits into the two accounts.</w:t>
      </w:r>
    </w:p>
    <w:p w:rsidR="006F5EBE" w:rsidRPr="00662BA1" w:rsidRDefault="00052537" w:rsidP="006F5EBE">
      <w:pPr>
        <w:tabs>
          <w:tab w:val="clear" w:pos="4320"/>
          <w:tab w:val="clear" w:pos="9072"/>
        </w:tabs>
        <w:snapToGrid/>
        <w:spacing w:before="360" w:line="360" w:lineRule="auto"/>
        <w:jc w:val="both"/>
        <w:rPr>
          <w:rFonts w:eastAsia="PMingLiU"/>
          <w:lang w:eastAsia="zh-TW"/>
        </w:rPr>
      </w:pPr>
      <w:r w:rsidRPr="00662BA1">
        <w:rPr>
          <w:lang w:eastAsia="zh-TW"/>
        </w:rPr>
        <w:fldChar w:fldCharType="begin"/>
      </w:r>
      <w:r w:rsidR="006F5EBE" w:rsidRPr="00662BA1">
        <w:rPr>
          <w:lang w:eastAsia="zh-TW"/>
        </w:rPr>
        <w:instrText xml:space="preserve"> </w:instrText>
      </w:r>
      <w:r w:rsidR="006F5EBE" w:rsidRPr="00662BA1">
        <w:rPr>
          <w:rFonts w:hint="eastAsia"/>
          <w:lang w:eastAsia="zh-TW"/>
        </w:rPr>
        <w:instrText xml:space="preserve">AUTONUMOUT </w:instrText>
      </w:r>
      <w:r w:rsidR="006F5EBE" w:rsidRPr="00662BA1">
        <w:rPr>
          <w:lang w:eastAsia="zh-TW"/>
        </w:rPr>
        <w:instrText xml:space="preserve"> </w:instrText>
      </w:r>
      <w:r w:rsidRPr="00662BA1">
        <w:rPr>
          <w:lang w:eastAsia="zh-TW"/>
        </w:rPr>
        <w:fldChar w:fldCharType="end"/>
      </w:r>
      <w:r w:rsidR="006F5EBE" w:rsidRPr="00662BA1">
        <w:rPr>
          <w:lang w:eastAsia="zh-TW"/>
        </w:rPr>
        <w:tab/>
      </w:r>
      <w:r w:rsidR="00176C73" w:rsidRPr="00662BA1">
        <w:t>We are satisfied that there was cogent evidence that the applicant dealt with deposits of money in the two accounts and that the judge was entitled to find that in doing so he had reasonable grounds to believe that they were the proceeds of an indictable offence.</w:t>
      </w:r>
    </w:p>
    <w:p w:rsidR="006F5EBE" w:rsidRPr="00662BA1" w:rsidRDefault="00176C73" w:rsidP="006F5EBE">
      <w:pPr>
        <w:tabs>
          <w:tab w:val="clear" w:pos="4320"/>
          <w:tab w:val="clear" w:pos="9072"/>
        </w:tabs>
        <w:snapToGrid/>
        <w:spacing w:before="360" w:line="360" w:lineRule="auto"/>
        <w:jc w:val="both"/>
        <w:rPr>
          <w:rFonts w:eastAsia="PMingLiU"/>
          <w:lang w:eastAsia="zh-TW"/>
        </w:rPr>
      </w:pPr>
      <w:r w:rsidRPr="00662BA1">
        <w:rPr>
          <w:i/>
        </w:rPr>
        <w:t>Conclusion</w:t>
      </w:r>
    </w:p>
    <w:p w:rsidR="00176C73" w:rsidRDefault="00052537" w:rsidP="006F5EBE">
      <w:pPr>
        <w:tabs>
          <w:tab w:val="clear" w:pos="4320"/>
          <w:tab w:val="clear" w:pos="9072"/>
        </w:tabs>
        <w:snapToGrid/>
        <w:spacing w:before="360" w:line="360" w:lineRule="auto"/>
        <w:jc w:val="both"/>
      </w:pPr>
      <w:r w:rsidRPr="00662BA1">
        <w:rPr>
          <w:lang w:eastAsia="zh-TW"/>
        </w:rPr>
        <w:fldChar w:fldCharType="begin"/>
      </w:r>
      <w:r w:rsidR="006F5EBE" w:rsidRPr="00662BA1">
        <w:rPr>
          <w:lang w:eastAsia="zh-TW"/>
        </w:rPr>
        <w:instrText xml:space="preserve"> </w:instrText>
      </w:r>
      <w:r w:rsidR="006F5EBE" w:rsidRPr="00662BA1">
        <w:rPr>
          <w:rFonts w:hint="eastAsia"/>
          <w:lang w:eastAsia="zh-TW"/>
        </w:rPr>
        <w:instrText xml:space="preserve">AUTONUMOUT </w:instrText>
      </w:r>
      <w:r w:rsidR="006F5EBE" w:rsidRPr="00662BA1">
        <w:rPr>
          <w:lang w:eastAsia="zh-TW"/>
        </w:rPr>
        <w:instrText xml:space="preserve"> </w:instrText>
      </w:r>
      <w:r w:rsidRPr="00662BA1">
        <w:rPr>
          <w:lang w:eastAsia="zh-TW"/>
        </w:rPr>
        <w:fldChar w:fldCharType="end"/>
      </w:r>
      <w:r w:rsidR="006F5EBE" w:rsidRPr="00662BA1">
        <w:rPr>
          <w:lang w:eastAsia="zh-TW"/>
        </w:rPr>
        <w:tab/>
      </w:r>
      <w:r w:rsidR="00176C73" w:rsidRPr="00662BA1">
        <w:t>We grant the applicant leave to appe</w:t>
      </w:r>
      <w:r w:rsidR="00662BA1" w:rsidRPr="00662BA1">
        <w:t>al against conviction on ground</w:t>
      </w:r>
      <w:r w:rsidR="00662BA1" w:rsidRPr="00662BA1">
        <w:rPr>
          <w:lang w:val="en-US"/>
        </w:rPr>
        <w:t> </w:t>
      </w:r>
      <w:r w:rsidR="00662BA1" w:rsidRPr="00662BA1">
        <w:t>1A (duplicity), ground</w:t>
      </w:r>
      <w:r w:rsidR="00662BA1" w:rsidRPr="00662BA1">
        <w:rPr>
          <w:lang w:val="en-US"/>
        </w:rPr>
        <w:t> </w:t>
      </w:r>
      <w:r w:rsidR="00176C73" w:rsidRPr="00662BA1">
        <w:t xml:space="preserve">1 (reasonable grounds to believe) and grounds 2 and 3 (the repository point), but not on the other grounds of appeal. </w:t>
      </w:r>
      <w:r w:rsidR="00662BA1" w:rsidRPr="00662BA1">
        <w:rPr>
          <w:rFonts w:eastAsia="PMingLiU" w:hint="eastAsia"/>
          <w:lang w:eastAsia="zh-TW"/>
        </w:rPr>
        <w:t xml:space="preserve"> </w:t>
      </w:r>
      <w:r w:rsidR="00176C73" w:rsidRPr="00662BA1">
        <w:t>However, for the reasons set out above we dismiss the appeal.</w:t>
      </w:r>
    </w:p>
    <w:p w:rsidR="00176C73" w:rsidRDefault="00052537" w:rsidP="00336A18">
      <w:pPr>
        <w:tabs>
          <w:tab w:val="clear" w:pos="4320"/>
          <w:tab w:val="clear" w:pos="9072"/>
        </w:tabs>
        <w:snapToGrid/>
        <w:spacing w:before="360" w:line="360" w:lineRule="auto"/>
        <w:jc w:val="both"/>
      </w:pPr>
      <w:r>
        <w:fldChar w:fldCharType="begin"/>
      </w:r>
      <w:r w:rsidR="00336A18">
        <w:instrText xml:space="preserve"> AUTONUMOUT  </w:instrText>
      </w:r>
      <w:r>
        <w:fldChar w:fldCharType="end"/>
      </w:r>
      <w:r w:rsidR="00336A18">
        <w:tab/>
        <w:t>We will now hear the parties on the application for leave to appeal against sentence.</w:t>
      </w:r>
    </w:p>
    <w:p w:rsidR="00AC2E71" w:rsidRDefault="00AC2E71" w:rsidP="00176C73">
      <w:pPr>
        <w:spacing w:before="120" w:after="120" w:line="360" w:lineRule="auto"/>
      </w:pPr>
    </w:p>
    <w:p w:rsidR="00AC2E71" w:rsidRPr="00662BA1" w:rsidRDefault="00AC2E71" w:rsidP="00AC2E71">
      <w:pPr>
        <w:tabs>
          <w:tab w:val="clear" w:pos="4320"/>
          <w:tab w:val="clear" w:pos="9072"/>
        </w:tabs>
        <w:spacing w:before="120" w:after="120" w:line="360" w:lineRule="auto"/>
      </w:pPr>
    </w:p>
    <w:tbl>
      <w:tblPr>
        <w:tblW w:w="8928" w:type="dxa"/>
        <w:tblLook w:val="04A0"/>
      </w:tblPr>
      <w:tblGrid>
        <w:gridCol w:w="2908"/>
        <w:gridCol w:w="2800"/>
        <w:gridCol w:w="3220"/>
      </w:tblGrid>
      <w:tr w:rsidR="00C92265" w:rsidRPr="00662BA1" w:rsidTr="009D158D">
        <w:tc>
          <w:tcPr>
            <w:tcW w:w="2908" w:type="dxa"/>
            <w:hideMark/>
          </w:tcPr>
          <w:p w:rsidR="00C92265" w:rsidRPr="00662BA1" w:rsidRDefault="00C92265" w:rsidP="009D158D">
            <w:pPr>
              <w:tabs>
                <w:tab w:val="clear" w:pos="4320"/>
                <w:tab w:val="clear" w:pos="9072"/>
              </w:tabs>
              <w:jc w:val="both"/>
            </w:pPr>
          </w:p>
          <w:p w:rsidR="00C92265" w:rsidRPr="00662BA1" w:rsidRDefault="00C92265" w:rsidP="009D158D">
            <w:pPr>
              <w:tabs>
                <w:tab w:val="clear" w:pos="4320"/>
                <w:tab w:val="clear" w:pos="9072"/>
              </w:tabs>
              <w:jc w:val="both"/>
            </w:pPr>
          </w:p>
          <w:p w:rsidR="00C92265" w:rsidRPr="00662BA1" w:rsidRDefault="00C92265" w:rsidP="009D158D">
            <w:pPr>
              <w:tabs>
                <w:tab w:val="clear" w:pos="4320"/>
                <w:tab w:val="clear" w:pos="9072"/>
              </w:tabs>
              <w:jc w:val="center"/>
            </w:pPr>
            <w:r w:rsidRPr="00662BA1">
              <w:t>(</w:t>
            </w:r>
            <w:r w:rsidRPr="00662BA1">
              <w:rPr>
                <w:lang w:val="en-US"/>
              </w:rPr>
              <w:t xml:space="preserve">Michael </w:t>
            </w:r>
            <w:proofErr w:type="spellStart"/>
            <w:r w:rsidRPr="00662BA1">
              <w:rPr>
                <w:lang w:val="en-US"/>
              </w:rPr>
              <w:t>Lunn</w:t>
            </w:r>
            <w:proofErr w:type="spellEnd"/>
            <w:r w:rsidRPr="00662BA1">
              <w:rPr>
                <w:lang w:val="en-US"/>
              </w:rPr>
              <w:t>)</w:t>
            </w:r>
          </w:p>
          <w:p w:rsidR="00C92265" w:rsidRPr="00662BA1" w:rsidRDefault="00C92265" w:rsidP="009D158D">
            <w:pPr>
              <w:pStyle w:val="normal2"/>
              <w:tabs>
                <w:tab w:val="clear" w:pos="1411"/>
                <w:tab w:val="clear" w:pos="4320"/>
                <w:tab w:val="clear" w:pos="9072"/>
              </w:tabs>
              <w:overflowPunct/>
              <w:autoSpaceDE/>
              <w:spacing w:line="240" w:lineRule="auto"/>
              <w:rPr>
                <w:rFonts w:eastAsia="宋体"/>
                <w:caps w:val="0"/>
              </w:rPr>
            </w:pPr>
            <w:r w:rsidRPr="00662BA1">
              <w:rPr>
                <w:rFonts w:eastAsia="宋体"/>
                <w:caps w:val="0"/>
              </w:rPr>
              <w:t>Vice-President</w:t>
            </w:r>
          </w:p>
        </w:tc>
        <w:tc>
          <w:tcPr>
            <w:tcW w:w="2800" w:type="dxa"/>
            <w:hideMark/>
          </w:tcPr>
          <w:p w:rsidR="00C92265" w:rsidRPr="00662BA1" w:rsidRDefault="00C92265" w:rsidP="009D158D">
            <w:pPr>
              <w:pStyle w:val="normal2"/>
              <w:tabs>
                <w:tab w:val="clear" w:pos="1411"/>
                <w:tab w:val="clear" w:pos="4320"/>
                <w:tab w:val="clear" w:pos="9072"/>
              </w:tabs>
              <w:overflowPunct/>
              <w:autoSpaceDE/>
              <w:spacing w:line="240" w:lineRule="auto"/>
              <w:jc w:val="both"/>
              <w:rPr>
                <w:rFonts w:eastAsia="宋体"/>
                <w:caps w:val="0"/>
                <w:lang w:val="en-US"/>
              </w:rPr>
            </w:pPr>
          </w:p>
          <w:p w:rsidR="00C92265" w:rsidRPr="00662BA1" w:rsidRDefault="00C92265" w:rsidP="009D158D">
            <w:pPr>
              <w:pStyle w:val="normal2"/>
              <w:tabs>
                <w:tab w:val="clear" w:pos="1411"/>
                <w:tab w:val="clear" w:pos="4320"/>
                <w:tab w:val="clear" w:pos="9072"/>
              </w:tabs>
              <w:overflowPunct/>
              <w:autoSpaceDE/>
              <w:spacing w:line="240" w:lineRule="auto"/>
              <w:jc w:val="both"/>
              <w:rPr>
                <w:rFonts w:eastAsia="宋体"/>
                <w:caps w:val="0"/>
                <w:lang w:val="en-US"/>
              </w:rPr>
            </w:pPr>
          </w:p>
          <w:p w:rsidR="00C92265" w:rsidRPr="00662BA1" w:rsidRDefault="00C92265" w:rsidP="009D158D">
            <w:pPr>
              <w:pStyle w:val="normal2"/>
              <w:tabs>
                <w:tab w:val="clear" w:pos="1411"/>
                <w:tab w:val="clear" w:pos="4320"/>
                <w:tab w:val="clear" w:pos="9072"/>
              </w:tabs>
              <w:overflowPunct/>
              <w:autoSpaceDE/>
              <w:spacing w:line="240" w:lineRule="auto"/>
              <w:rPr>
                <w:rFonts w:eastAsia="宋体"/>
                <w:caps w:val="0"/>
                <w:lang w:val="en-US"/>
              </w:rPr>
            </w:pPr>
            <w:r w:rsidRPr="00662BA1">
              <w:rPr>
                <w:rFonts w:eastAsia="宋体"/>
                <w:caps w:val="0"/>
                <w:lang w:val="en-US"/>
              </w:rPr>
              <w:t>(</w:t>
            </w:r>
            <w:r w:rsidRPr="00662BA1">
              <w:rPr>
                <w:rFonts w:eastAsia="宋体"/>
                <w:caps w:val="0"/>
              </w:rPr>
              <w:t xml:space="preserve">Andrew </w:t>
            </w:r>
            <w:proofErr w:type="spellStart"/>
            <w:r w:rsidRPr="00662BA1">
              <w:rPr>
                <w:rFonts w:eastAsia="宋体"/>
                <w:caps w:val="0"/>
              </w:rPr>
              <w:t>Macrae</w:t>
            </w:r>
            <w:proofErr w:type="spellEnd"/>
            <w:r w:rsidRPr="00662BA1">
              <w:rPr>
                <w:rFonts w:eastAsia="宋体" w:hint="eastAsia"/>
                <w:caps w:val="0"/>
              </w:rPr>
              <w:t>)</w:t>
            </w:r>
          </w:p>
          <w:p w:rsidR="00C92265" w:rsidRPr="00662BA1" w:rsidRDefault="00C92265" w:rsidP="009D158D">
            <w:pPr>
              <w:pStyle w:val="normal2"/>
              <w:tabs>
                <w:tab w:val="clear" w:pos="1411"/>
                <w:tab w:val="clear" w:pos="4320"/>
                <w:tab w:val="clear" w:pos="9072"/>
              </w:tabs>
              <w:overflowPunct/>
              <w:autoSpaceDE/>
              <w:spacing w:line="240" w:lineRule="auto"/>
              <w:rPr>
                <w:rFonts w:eastAsia="宋体"/>
                <w:caps w:val="0"/>
                <w:lang w:val="en-US"/>
              </w:rPr>
            </w:pPr>
            <w:r w:rsidRPr="00662BA1">
              <w:rPr>
                <w:rFonts w:eastAsia="宋体"/>
                <w:caps w:val="0"/>
                <w:lang w:val="en-US"/>
              </w:rPr>
              <w:t>Justice of Appeal</w:t>
            </w:r>
          </w:p>
          <w:p w:rsidR="00C92265" w:rsidRPr="00662BA1" w:rsidRDefault="00C92265" w:rsidP="009D158D">
            <w:pPr>
              <w:pStyle w:val="normal2"/>
              <w:tabs>
                <w:tab w:val="clear" w:pos="1411"/>
                <w:tab w:val="clear" w:pos="4320"/>
                <w:tab w:val="clear" w:pos="9072"/>
              </w:tabs>
              <w:overflowPunct/>
              <w:autoSpaceDE/>
              <w:spacing w:line="240" w:lineRule="auto"/>
              <w:jc w:val="both"/>
              <w:rPr>
                <w:rFonts w:eastAsia="宋体"/>
                <w:caps w:val="0"/>
                <w:lang w:val="en-US"/>
              </w:rPr>
            </w:pPr>
            <w:r w:rsidRPr="00662BA1">
              <w:rPr>
                <w:rFonts w:eastAsia="宋体"/>
                <w:caps w:val="0"/>
                <w:lang w:val="en-US"/>
              </w:rPr>
              <w:t xml:space="preserve">  </w:t>
            </w:r>
          </w:p>
        </w:tc>
        <w:tc>
          <w:tcPr>
            <w:tcW w:w="3220" w:type="dxa"/>
            <w:hideMark/>
          </w:tcPr>
          <w:p w:rsidR="00C92265" w:rsidRPr="00662BA1" w:rsidRDefault="00C92265" w:rsidP="009D158D">
            <w:pPr>
              <w:pStyle w:val="normal2"/>
              <w:tabs>
                <w:tab w:val="clear" w:pos="1411"/>
                <w:tab w:val="clear" w:pos="4320"/>
                <w:tab w:val="clear" w:pos="9072"/>
              </w:tabs>
              <w:overflowPunct/>
              <w:autoSpaceDE/>
              <w:spacing w:line="240" w:lineRule="auto"/>
              <w:rPr>
                <w:rFonts w:eastAsia="宋体"/>
                <w:caps w:val="0"/>
                <w:lang w:val="en-US"/>
              </w:rPr>
            </w:pPr>
          </w:p>
          <w:p w:rsidR="00C92265" w:rsidRPr="00662BA1" w:rsidRDefault="00C92265" w:rsidP="009D158D">
            <w:pPr>
              <w:pStyle w:val="normal2"/>
              <w:tabs>
                <w:tab w:val="clear" w:pos="1411"/>
                <w:tab w:val="clear" w:pos="4320"/>
                <w:tab w:val="clear" w:pos="9072"/>
              </w:tabs>
              <w:overflowPunct/>
              <w:autoSpaceDE/>
              <w:spacing w:line="240" w:lineRule="auto"/>
              <w:rPr>
                <w:rFonts w:eastAsia="宋体"/>
                <w:caps w:val="0"/>
                <w:lang w:val="en-US"/>
              </w:rPr>
            </w:pPr>
          </w:p>
          <w:p w:rsidR="00C92265" w:rsidRPr="00662BA1" w:rsidRDefault="00C92265" w:rsidP="009D158D">
            <w:pPr>
              <w:pStyle w:val="normal2"/>
              <w:tabs>
                <w:tab w:val="clear" w:pos="1411"/>
                <w:tab w:val="clear" w:pos="4320"/>
              </w:tabs>
              <w:overflowPunct/>
              <w:autoSpaceDE/>
              <w:spacing w:line="240" w:lineRule="auto"/>
              <w:rPr>
                <w:rFonts w:eastAsia="宋体"/>
                <w:caps w:val="0"/>
                <w:lang w:val="en-US"/>
              </w:rPr>
            </w:pPr>
            <w:r w:rsidRPr="00662BA1">
              <w:rPr>
                <w:rFonts w:eastAsia="宋体"/>
                <w:caps w:val="0"/>
                <w:lang w:val="en-US"/>
              </w:rPr>
              <w:t>(</w:t>
            </w:r>
            <w:r w:rsidRPr="00662BA1">
              <w:rPr>
                <w:rFonts w:eastAsia="宋体"/>
                <w:caps w:val="0"/>
              </w:rPr>
              <w:t xml:space="preserve">Ian </w:t>
            </w:r>
            <w:proofErr w:type="spellStart"/>
            <w:r w:rsidRPr="00662BA1">
              <w:rPr>
                <w:rFonts w:eastAsia="宋体"/>
                <w:caps w:val="0"/>
              </w:rPr>
              <w:t>McWalters</w:t>
            </w:r>
            <w:proofErr w:type="spellEnd"/>
            <w:r w:rsidRPr="00662BA1">
              <w:rPr>
                <w:rFonts w:eastAsia="宋体"/>
                <w:caps w:val="0"/>
                <w:lang w:val="en-US"/>
              </w:rPr>
              <w:t>)</w:t>
            </w:r>
          </w:p>
          <w:p w:rsidR="00C92265" w:rsidRPr="00662BA1" w:rsidRDefault="00C92265" w:rsidP="009D158D">
            <w:pPr>
              <w:pStyle w:val="normal2"/>
              <w:tabs>
                <w:tab w:val="clear" w:pos="1411"/>
                <w:tab w:val="clear" w:pos="4320"/>
              </w:tabs>
              <w:overflowPunct/>
              <w:autoSpaceDE/>
              <w:spacing w:line="240" w:lineRule="auto"/>
              <w:rPr>
                <w:rFonts w:eastAsia="宋体"/>
                <w:caps w:val="0"/>
                <w:lang w:val="en-US"/>
              </w:rPr>
            </w:pPr>
            <w:r w:rsidRPr="00662BA1">
              <w:rPr>
                <w:rFonts w:eastAsia="宋体"/>
                <w:caps w:val="0"/>
                <w:lang w:val="en-US"/>
              </w:rPr>
              <w:t>Justice of Appeal</w:t>
            </w:r>
          </w:p>
          <w:p w:rsidR="00C92265" w:rsidRPr="00662BA1" w:rsidRDefault="00C92265" w:rsidP="009D158D">
            <w:pPr>
              <w:pStyle w:val="normal2"/>
              <w:tabs>
                <w:tab w:val="clear" w:pos="1411"/>
                <w:tab w:val="clear" w:pos="4320"/>
                <w:tab w:val="clear" w:pos="9072"/>
              </w:tabs>
              <w:overflowPunct/>
              <w:autoSpaceDE/>
              <w:spacing w:line="240" w:lineRule="auto"/>
              <w:rPr>
                <w:rFonts w:eastAsia="宋体"/>
                <w:caps w:val="0"/>
                <w:lang w:val="en-US"/>
              </w:rPr>
            </w:pPr>
          </w:p>
        </w:tc>
      </w:tr>
    </w:tbl>
    <w:p w:rsidR="00176C73" w:rsidRPr="00662BA1" w:rsidRDefault="00176C73" w:rsidP="00FD5CB0">
      <w:pPr>
        <w:tabs>
          <w:tab w:val="clear" w:pos="4320"/>
          <w:tab w:val="clear" w:pos="9072"/>
        </w:tabs>
        <w:spacing w:before="120" w:after="120" w:line="360" w:lineRule="auto"/>
      </w:pPr>
    </w:p>
    <w:p w:rsidR="00176C73" w:rsidRPr="00662BA1" w:rsidRDefault="00176C73" w:rsidP="00C92265">
      <w:pPr>
        <w:tabs>
          <w:tab w:val="clear" w:pos="1440"/>
          <w:tab w:val="clear" w:pos="4320"/>
          <w:tab w:val="clear" w:pos="9072"/>
        </w:tabs>
        <w:snapToGrid/>
        <w:spacing w:before="360" w:line="360" w:lineRule="auto"/>
        <w:ind w:left="540" w:hanging="540"/>
        <w:jc w:val="both"/>
        <w:rPr>
          <w:szCs w:val="28"/>
        </w:rPr>
      </w:pPr>
      <w:r w:rsidRPr="00662BA1">
        <w:rPr>
          <w:szCs w:val="24"/>
        </w:rPr>
        <w:t xml:space="preserve">Mr Jonathan </w:t>
      </w:r>
      <w:proofErr w:type="spellStart"/>
      <w:r w:rsidRPr="00662BA1">
        <w:rPr>
          <w:szCs w:val="24"/>
        </w:rPr>
        <w:t>Caplan</w:t>
      </w:r>
      <w:proofErr w:type="spellEnd"/>
      <w:r w:rsidRPr="00662BA1">
        <w:rPr>
          <w:szCs w:val="24"/>
        </w:rPr>
        <w:t xml:space="preserve"> QC and Anthony </w:t>
      </w:r>
      <w:proofErr w:type="spellStart"/>
      <w:r w:rsidRPr="00662BA1">
        <w:rPr>
          <w:szCs w:val="24"/>
        </w:rPr>
        <w:t>Chau</w:t>
      </w:r>
      <w:proofErr w:type="spellEnd"/>
      <w:r w:rsidRPr="00662BA1">
        <w:rPr>
          <w:szCs w:val="24"/>
        </w:rPr>
        <w:t>,</w:t>
      </w:r>
      <w:r w:rsidRPr="00662BA1">
        <w:rPr>
          <w:szCs w:val="28"/>
        </w:rPr>
        <w:t xml:space="preserve"> SPP, of the Department of Justice, for the respondent</w:t>
      </w:r>
    </w:p>
    <w:p w:rsidR="00C92265" w:rsidRPr="00662BA1" w:rsidRDefault="00C92265" w:rsidP="00C92265">
      <w:pPr>
        <w:tabs>
          <w:tab w:val="clear" w:pos="1440"/>
          <w:tab w:val="clear" w:pos="4320"/>
          <w:tab w:val="clear" w:pos="9072"/>
        </w:tabs>
        <w:snapToGrid/>
        <w:spacing w:before="120"/>
        <w:ind w:left="547" w:hanging="547"/>
        <w:jc w:val="both"/>
        <w:rPr>
          <w:szCs w:val="28"/>
        </w:rPr>
      </w:pPr>
    </w:p>
    <w:p w:rsidR="00176C73" w:rsidRPr="00662BA1" w:rsidRDefault="00176C73" w:rsidP="00C92265">
      <w:pPr>
        <w:tabs>
          <w:tab w:val="clear" w:pos="1440"/>
          <w:tab w:val="clear" w:pos="4320"/>
          <w:tab w:val="clear" w:pos="9072"/>
          <w:tab w:val="left" w:pos="540"/>
        </w:tabs>
        <w:spacing w:line="380" w:lineRule="exact"/>
        <w:ind w:left="540" w:hanging="540"/>
        <w:jc w:val="both"/>
        <w:rPr>
          <w:rFonts w:eastAsia="Times New Roman"/>
          <w:szCs w:val="28"/>
          <w:lang w:val="en-US"/>
        </w:rPr>
      </w:pPr>
      <w:r w:rsidRPr="00662BA1">
        <w:rPr>
          <w:szCs w:val="24"/>
          <w:lang w:val="en-US"/>
        </w:rPr>
        <w:t xml:space="preserve">Ms Clare Montgomery QC, </w:t>
      </w:r>
      <w:proofErr w:type="spellStart"/>
      <w:r w:rsidRPr="00662BA1">
        <w:rPr>
          <w:szCs w:val="24"/>
          <w:lang w:val="en-US"/>
        </w:rPr>
        <w:t>Mr</w:t>
      </w:r>
      <w:proofErr w:type="spellEnd"/>
      <w:r w:rsidRPr="00662BA1">
        <w:rPr>
          <w:szCs w:val="24"/>
          <w:lang w:val="en-US"/>
        </w:rPr>
        <w:t xml:space="preserve"> Gary Plowman SC and </w:t>
      </w:r>
      <w:proofErr w:type="spellStart"/>
      <w:r w:rsidRPr="00662BA1">
        <w:rPr>
          <w:szCs w:val="24"/>
          <w:lang w:val="en-US"/>
        </w:rPr>
        <w:t>Mr</w:t>
      </w:r>
      <w:proofErr w:type="spellEnd"/>
      <w:r w:rsidRPr="00662BA1">
        <w:rPr>
          <w:szCs w:val="24"/>
          <w:lang w:val="en-US"/>
        </w:rPr>
        <w:t xml:space="preserve"> Derek Chan</w:t>
      </w:r>
      <w:r w:rsidRPr="00662BA1">
        <w:rPr>
          <w:rFonts w:eastAsia="Times New Roman"/>
          <w:szCs w:val="28"/>
          <w:lang w:val="en-US"/>
        </w:rPr>
        <w:t xml:space="preserve">, instructed by </w:t>
      </w:r>
      <w:r w:rsidRPr="00662BA1">
        <w:rPr>
          <w:szCs w:val="24"/>
          <w:lang w:val="en-US"/>
        </w:rPr>
        <w:t>Bough &amp; Co.</w:t>
      </w:r>
      <w:r w:rsidRPr="00662BA1">
        <w:rPr>
          <w:rFonts w:eastAsia="Times New Roman"/>
          <w:szCs w:val="28"/>
          <w:lang w:val="en-US"/>
        </w:rPr>
        <w:t>, for the applicant</w:t>
      </w:r>
      <w:r w:rsidRPr="00662BA1">
        <w:rPr>
          <w:szCs w:val="24"/>
          <w:lang w:val="en-US"/>
        </w:rPr>
        <w:t xml:space="preserve"> </w:t>
      </w:r>
    </w:p>
    <w:sectPr w:rsidR="00176C73" w:rsidRPr="00662BA1" w:rsidSect="001D18B1">
      <w:headerReference w:type="default" r:id="rId8"/>
      <w:headerReference w:type="first" r:id="rId9"/>
      <w:footerReference w:type="first" r:id="rId10"/>
      <w:type w:val="continuous"/>
      <w:pgSz w:w="11906" w:h="16838" w:code="9"/>
      <w:pgMar w:top="1800" w:right="1800" w:bottom="1440" w:left="1800" w:header="1008" w:footer="1037"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0EC" w:rsidRDefault="00E000EC">
      <w:r>
        <w:separator/>
      </w:r>
    </w:p>
  </w:endnote>
  <w:endnote w:type="continuationSeparator" w:id="0">
    <w:p w:rsidR="00E000EC" w:rsidRDefault="00E00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華康細明體">
    <w:altName w:val="Arial Unicode MS"/>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IZQPDC+TimesNewRomanPSMT">
    <w:altName w:val="宋体"/>
    <w:panose1 w:val="00000000000000000000"/>
    <w:charset w:val="86"/>
    <w:family w:val="roman"/>
    <w:notTrueType/>
    <w:pitch w:val="default"/>
    <w:sig w:usb0="00000001" w:usb1="080E0000" w:usb2="00000010" w:usb3="00000000" w:csb0="00040000" w:csb1="00000000"/>
  </w:font>
  <w:font w:name="UAEPGK+CourierNewPSMT">
    <w:altName w:val="黑体"/>
    <w:panose1 w:val="00000000000000000000"/>
    <w:charset w:val="86"/>
    <w:family w:val="modern"/>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YLJPFT+TimesNewRomanPS-ItalicM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916" w:rsidRDefault="00C35916" w:rsidP="000F48C2">
    <w:pPr>
      <w:pStyle w:val="Footer"/>
      <w:tabs>
        <w:tab w:val="clear" w:pos="4153"/>
        <w:tab w:val="clear" w:pos="4320"/>
        <w:tab w:val="clear"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0EC" w:rsidRDefault="00E000EC">
      <w:r>
        <w:separator/>
      </w:r>
    </w:p>
  </w:footnote>
  <w:footnote w:type="continuationSeparator" w:id="0">
    <w:p w:rsidR="00E000EC" w:rsidRDefault="00E000EC">
      <w:r>
        <w:continuationSeparator/>
      </w:r>
    </w:p>
  </w:footnote>
  <w:footnote w:id="1">
    <w:p w:rsidR="00C35916" w:rsidRPr="00B14DD9"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Appeal Bundle, page 8.</w:t>
      </w:r>
    </w:p>
  </w:footnote>
  <w:footnote w:id="2">
    <w:p w:rsidR="00C35916" w:rsidRPr="00780BDD"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Appeal Bundle, pages 16 and 17; Admitted Facts, paragraphs 11 and 12.</w:t>
      </w:r>
    </w:p>
  </w:footnote>
  <w:footnote w:id="3">
    <w:p w:rsidR="00C35916" w:rsidRPr="00227805"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Reasons for Verdict, paragraph 5.</w:t>
      </w:r>
    </w:p>
  </w:footnote>
  <w:footnote w:id="4">
    <w:p w:rsidR="00C35916" w:rsidRPr="009734BC"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Appeal Bundle: Prosecution opening; page 13, paragraph 26.</w:t>
      </w:r>
    </w:p>
  </w:footnote>
  <w:footnote w:id="5">
    <w:p w:rsidR="00C35916" w:rsidRPr="00536AF0"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t>Reasons for Verdict, paragraph 14.</w:t>
      </w:r>
    </w:p>
  </w:footnote>
  <w:footnote w:id="6">
    <w:p w:rsidR="00C35916" w:rsidRPr="002C0D62"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Reasons for Verdict, paragraph 388; Appeal Bundle–Transcript, page 3061.</w:t>
      </w:r>
    </w:p>
  </w:footnote>
  <w:footnote w:id="7">
    <w:p w:rsidR="00C35916" w:rsidRPr="009A0543"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Reasons for Verdict, paragraph 387; Appeal Bundle–Transcript, pages 3060-1.</w:t>
      </w:r>
    </w:p>
  </w:footnote>
  <w:footnote w:id="8">
    <w:p w:rsidR="00C35916" w:rsidRPr="00496C90"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274; Appeal Bundle</w:t>
      </w:r>
      <w:r>
        <w:t>–</w:t>
      </w:r>
      <w:r>
        <w:rPr>
          <w:lang w:val="en-US"/>
        </w:rPr>
        <w:t xml:space="preserve">Transcript, page 2882. </w:t>
      </w:r>
    </w:p>
  </w:footnote>
  <w:footnote w:id="9">
    <w:p w:rsidR="00C35916" w:rsidRPr="005C44FD"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proofErr w:type="gramStart"/>
      <w:r>
        <w:rPr>
          <w:i/>
        </w:rPr>
        <w:t xml:space="preserve">HKSAR v </w:t>
      </w:r>
      <w:proofErr w:type="spellStart"/>
      <w:r>
        <w:rPr>
          <w:i/>
        </w:rPr>
        <w:t>Salim</w:t>
      </w:r>
      <w:proofErr w:type="spellEnd"/>
      <w:r>
        <w:rPr>
          <w:i/>
        </w:rPr>
        <w:t xml:space="preserve"> </w:t>
      </w:r>
      <w:r w:rsidRPr="00DD75C6">
        <w:t>[2014] 6 HKC 678</w:t>
      </w:r>
      <w:r>
        <w:t>.</w:t>
      </w:r>
      <w:proofErr w:type="gramEnd"/>
    </w:p>
  </w:footnote>
  <w:footnote w:id="10">
    <w:p w:rsidR="00C35916" w:rsidRPr="005C44FD" w:rsidRDefault="00C35916" w:rsidP="000D4EAC">
      <w:pPr>
        <w:pStyle w:val="ListParagraph"/>
        <w:tabs>
          <w:tab w:val="clear" w:pos="4320"/>
          <w:tab w:val="clear" w:pos="9072"/>
          <w:tab w:val="left" w:pos="360"/>
        </w:tabs>
        <w:snapToGrid/>
        <w:ind w:left="360" w:hanging="360"/>
        <w:jc w:val="both"/>
      </w:pPr>
      <w:r w:rsidRPr="005C44FD">
        <w:rPr>
          <w:rStyle w:val="FootnoteReference"/>
          <w:sz w:val="20"/>
        </w:rPr>
        <w:footnoteRef/>
      </w:r>
      <w:r>
        <w:t xml:space="preserve"> </w:t>
      </w:r>
      <w:r>
        <w:tab/>
      </w:r>
      <w:r w:rsidRPr="005C44FD">
        <w:rPr>
          <w:sz w:val="20"/>
        </w:rPr>
        <w:t>Re</w:t>
      </w:r>
      <w:r>
        <w:rPr>
          <w:sz w:val="20"/>
        </w:rPr>
        <w:t>asons for Verdict, paragraph 553: “</w:t>
      </w:r>
      <w:r w:rsidRPr="005C44FD">
        <w:rPr>
          <w:sz w:val="20"/>
        </w:rPr>
        <w:t xml:space="preserve">The applicable test is the two stage test of making a finding </w:t>
      </w:r>
      <w:r>
        <w:rPr>
          <w:sz w:val="20"/>
        </w:rPr>
        <w:t xml:space="preserve">on what facts were known to the defendant and then making a finding on whether knowing those facts, a reasonable right-thinking member of the community would consider that there were </w:t>
      </w:r>
      <w:r w:rsidRPr="005C44FD">
        <w:rPr>
          <w:sz w:val="20"/>
        </w:rPr>
        <w:t>reasonable grounds to believe that the money represented, wholly or in part, directly or indirectly, proceeds of an indictable offence.</w:t>
      </w:r>
      <w:r>
        <w:rPr>
          <w:sz w:val="20"/>
        </w:rPr>
        <w:t>”</w:t>
      </w:r>
      <w:r w:rsidRPr="005C44FD">
        <w:t xml:space="preserve"> </w:t>
      </w:r>
    </w:p>
  </w:footnote>
  <w:footnote w:id="11">
    <w:p w:rsidR="00C35916" w:rsidRPr="00BD487B"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proofErr w:type="gramStart"/>
      <w:r w:rsidRPr="005C44FD">
        <w:rPr>
          <w:i/>
          <w:szCs w:val="28"/>
        </w:rPr>
        <w:t xml:space="preserve">Pang Hung Fai </w:t>
      </w:r>
      <w:r>
        <w:rPr>
          <w:i/>
          <w:szCs w:val="28"/>
        </w:rPr>
        <w:t>v HKS</w:t>
      </w:r>
      <w:r w:rsidRPr="005C44FD">
        <w:rPr>
          <w:i/>
          <w:szCs w:val="28"/>
        </w:rPr>
        <w:t>AR</w:t>
      </w:r>
      <w:r>
        <w:rPr>
          <w:i/>
          <w:szCs w:val="28"/>
        </w:rPr>
        <w:t xml:space="preserve"> </w:t>
      </w:r>
      <w:r>
        <w:rPr>
          <w:szCs w:val="28"/>
        </w:rPr>
        <w:t>[2014] 6 HKC 487.</w:t>
      </w:r>
      <w:proofErr w:type="gramEnd"/>
    </w:p>
  </w:footnote>
  <w:footnote w:id="12">
    <w:p w:rsidR="00C35916" w:rsidRPr="00EA0A2F"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586: in the context that the applicant asserted that, whilst he was the beneficial owner, he was not the registered shareholder of 20% of the shares of Massive Resources the applicant, “…must have known that such behind the scene transactions without disclosure about his interest was inappropriate at least and illegal at worst”.</w:t>
      </w:r>
    </w:p>
  </w:footnote>
  <w:footnote w:id="13">
    <w:p w:rsidR="00C35916" w:rsidRPr="002C3E3E"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597.</w:t>
      </w:r>
    </w:p>
  </w:footnote>
  <w:footnote w:id="14">
    <w:p w:rsidR="00C35916" w:rsidRPr="000B49BB"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Reasons for Verdict, paragraph 635 [</w:t>
      </w:r>
      <w:r>
        <w:rPr>
          <w:szCs w:val="28"/>
        </w:rPr>
        <w:t>“in account A”</w:t>
      </w:r>
      <w:proofErr w:type="gramStart"/>
      <w:r>
        <w:rPr>
          <w:szCs w:val="28"/>
        </w:rPr>
        <w:t>]</w:t>
      </w:r>
      <w:r w:rsidRPr="00EE4952">
        <w:rPr>
          <w:szCs w:val="28"/>
        </w:rPr>
        <w:t xml:space="preserve"> </w:t>
      </w:r>
      <w:r>
        <w:rPr>
          <w:szCs w:val="28"/>
        </w:rPr>
        <w:t>.</w:t>
      </w:r>
      <w:proofErr w:type="gramEnd"/>
    </w:p>
  </w:footnote>
  <w:footnote w:id="15">
    <w:p w:rsidR="00C35916" w:rsidRPr="000B49BB"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proofErr w:type="gramStart"/>
      <w:r>
        <w:t>Reasons for Verdict, paragraph 635–Charge 1; paragraph 638–Charge 2; paragraphs 638 and 647–Charge 3; paragraphs 653 and 657–Charge 4; and paragraphs 658 and 666–Charge 5.</w:t>
      </w:r>
      <w:proofErr w:type="gramEnd"/>
    </w:p>
  </w:footnote>
  <w:footnote w:id="16">
    <w:p w:rsidR="00C35916" w:rsidRPr="0002327A"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 xml:space="preserve">Appeal Bundle, page 686–Sgt. Kwan, Annex 7. </w:t>
      </w:r>
    </w:p>
  </w:footnote>
  <w:footnote w:id="17">
    <w:p w:rsidR="00C35916" w:rsidRPr="0082683A"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Reasons for Verdict, paragraph 575.</w:t>
      </w:r>
    </w:p>
  </w:footnote>
  <w:footnote w:id="18">
    <w:p w:rsidR="00C35916" w:rsidRPr="003138AD"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proofErr w:type="gramStart"/>
      <w:r w:rsidRPr="003138AD">
        <w:rPr>
          <w:i/>
        </w:rPr>
        <w:t>HKSAR v Li Kwok Cheung &amp; Ors</w:t>
      </w:r>
      <w:r>
        <w:t xml:space="preserve"> (2014) 17 HKCFAR 319.</w:t>
      </w:r>
      <w:proofErr w:type="gramEnd"/>
    </w:p>
  </w:footnote>
  <w:footnote w:id="19">
    <w:p w:rsidR="00C35916" w:rsidRPr="00CB0D7D"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635.</w:t>
      </w:r>
    </w:p>
  </w:footnote>
  <w:footnote w:id="20">
    <w:p w:rsidR="00C35916" w:rsidRPr="000F7512"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Reasons for Verdict, paragraph 551.</w:t>
      </w:r>
    </w:p>
  </w:footnote>
  <w:footnote w:id="21">
    <w:p w:rsidR="00C35916" w:rsidRPr="000F7512"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Reasons for Verdict, paragraph 582.</w:t>
      </w:r>
    </w:p>
  </w:footnote>
  <w:footnote w:id="22">
    <w:p w:rsidR="00C35916" w:rsidRPr="00EC4BC9"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proofErr w:type="gramStart"/>
      <w:r>
        <w:t>Reasons for Verdict, paragraphs 129-130.</w:t>
      </w:r>
      <w:proofErr w:type="gramEnd"/>
    </w:p>
  </w:footnote>
  <w:footnote w:id="23">
    <w:p w:rsidR="00C35916" w:rsidRPr="00691DF1"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proofErr w:type="spellStart"/>
      <w:r w:rsidRPr="0039733C">
        <w:rPr>
          <w:i/>
          <w:szCs w:val="28"/>
        </w:rPr>
        <w:t>Oei</w:t>
      </w:r>
      <w:proofErr w:type="spellEnd"/>
      <w:r w:rsidRPr="0039733C">
        <w:rPr>
          <w:i/>
          <w:szCs w:val="28"/>
        </w:rPr>
        <w:t xml:space="preserve"> </w:t>
      </w:r>
      <w:proofErr w:type="spellStart"/>
      <w:r w:rsidRPr="0039733C">
        <w:rPr>
          <w:i/>
          <w:szCs w:val="28"/>
        </w:rPr>
        <w:t>Hengy</w:t>
      </w:r>
      <w:proofErr w:type="spellEnd"/>
      <w:r w:rsidRPr="0039733C">
        <w:rPr>
          <w:i/>
          <w:szCs w:val="28"/>
        </w:rPr>
        <w:t xml:space="preserve"> </w:t>
      </w:r>
      <w:proofErr w:type="spellStart"/>
      <w:r w:rsidRPr="0039733C">
        <w:rPr>
          <w:i/>
          <w:szCs w:val="28"/>
        </w:rPr>
        <w:t>Wiryo</w:t>
      </w:r>
      <w:proofErr w:type="spellEnd"/>
      <w:r w:rsidRPr="0039733C">
        <w:rPr>
          <w:i/>
          <w:szCs w:val="28"/>
        </w:rPr>
        <w:t xml:space="preserve"> v HKSAR</w:t>
      </w:r>
      <w:r>
        <w:rPr>
          <w:i/>
          <w:szCs w:val="28"/>
        </w:rPr>
        <w:t xml:space="preserve"> </w:t>
      </w:r>
      <w:r>
        <w:rPr>
          <w:szCs w:val="28"/>
        </w:rPr>
        <w:t>(2007) 10 HKCFAR 98.</w:t>
      </w:r>
    </w:p>
  </w:footnote>
  <w:footnote w:id="24">
    <w:p w:rsidR="00C35916" w:rsidRPr="00691DF1"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r w:rsidRPr="0039733C">
        <w:rPr>
          <w:i/>
          <w:szCs w:val="28"/>
        </w:rPr>
        <w:t>Li Kwok</w:t>
      </w:r>
      <w:r>
        <w:rPr>
          <w:i/>
          <w:szCs w:val="28"/>
        </w:rPr>
        <w:t xml:space="preserve"> </w:t>
      </w:r>
      <w:r w:rsidRPr="0039733C">
        <w:rPr>
          <w:i/>
          <w:szCs w:val="28"/>
        </w:rPr>
        <w:t>Cheung, George v HKSAR</w:t>
      </w:r>
      <w:r>
        <w:rPr>
          <w:szCs w:val="28"/>
        </w:rPr>
        <w:t xml:space="preserve"> (2014) 17 HKCFAR 319.</w:t>
      </w:r>
    </w:p>
  </w:footnote>
  <w:footnote w:id="25">
    <w:p w:rsidR="00C35916" w:rsidRPr="002702EB"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r w:rsidRPr="005C44FD">
        <w:rPr>
          <w:i/>
          <w:szCs w:val="28"/>
        </w:rPr>
        <w:t>Pang Hung</w:t>
      </w:r>
      <w:r>
        <w:rPr>
          <w:i/>
          <w:szCs w:val="28"/>
        </w:rPr>
        <w:t xml:space="preserve"> </w:t>
      </w:r>
      <w:r w:rsidRPr="005C44FD">
        <w:rPr>
          <w:i/>
          <w:szCs w:val="28"/>
        </w:rPr>
        <w:t>Fai v HKSAR</w:t>
      </w:r>
      <w:r>
        <w:rPr>
          <w:i/>
          <w:szCs w:val="28"/>
        </w:rPr>
        <w:t xml:space="preserve"> </w:t>
      </w:r>
      <w:r>
        <w:rPr>
          <w:szCs w:val="28"/>
        </w:rPr>
        <w:t>(2014) 17 HKCFAR 778.</w:t>
      </w:r>
    </w:p>
  </w:footnote>
  <w:footnote w:id="26">
    <w:p w:rsidR="00C35916" w:rsidRPr="00E075B4"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sidRPr="007E5D48">
        <w:rPr>
          <w:rFonts w:eastAsia="YLJPFT+TimesNewRomanPS-ItalicMT"/>
          <w:i/>
          <w:iCs/>
        </w:rPr>
        <w:t xml:space="preserve">DPP v Merriman </w:t>
      </w:r>
      <w:r w:rsidRPr="007E5D48">
        <w:t>[1973] AC 584</w:t>
      </w:r>
      <w:r>
        <w:t xml:space="preserve"> per Lord Morris at page 593 and Lord </w:t>
      </w:r>
      <w:proofErr w:type="spellStart"/>
      <w:r>
        <w:t>Diplock</w:t>
      </w:r>
      <w:proofErr w:type="spellEnd"/>
      <w:r>
        <w:t xml:space="preserve"> at page 607 C-D. </w:t>
      </w:r>
    </w:p>
  </w:footnote>
  <w:footnote w:id="27">
    <w:p w:rsidR="00C35916" w:rsidRPr="00C25E46"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sidRPr="00C25E46">
        <w:rPr>
          <w:i/>
          <w:szCs w:val="28"/>
        </w:rPr>
        <w:t>Practice Direction (Criminal Proceedings: Further Directions)</w:t>
      </w:r>
      <w:r>
        <w:rPr>
          <w:szCs w:val="28"/>
        </w:rPr>
        <w:t xml:space="preserve"> </w:t>
      </w:r>
      <w:proofErr w:type="gramStart"/>
      <w:r>
        <w:rPr>
          <w:szCs w:val="28"/>
        </w:rPr>
        <w:t>[ 2007</w:t>
      </w:r>
      <w:proofErr w:type="gramEnd"/>
      <w:r>
        <w:rPr>
          <w:szCs w:val="28"/>
        </w:rPr>
        <w:t>] 1 WLR 1790.</w:t>
      </w:r>
    </w:p>
  </w:footnote>
  <w:footnote w:id="28">
    <w:p w:rsidR="00C35916" w:rsidRPr="00E04987"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proofErr w:type="gramStart"/>
      <w:r w:rsidRPr="00E04987">
        <w:rPr>
          <w:i/>
          <w:szCs w:val="28"/>
        </w:rPr>
        <w:t>R v Middleton</w:t>
      </w:r>
      <w:r>
        <w:rPr>
          <w:i/>
          <w:szCs w:val="28"/>
        </w:rPr>
        <w:t xml:space="preserve"> </w:t>
      </w:r>
      <w:r>
        <w:rPr>
          <w:szCs w:val="28"/>
        </w:rPr>
        <w:t xml:space="preserve">[2008] EWCA </w:t>
      </w:r>
      <w:proofErr w:type="spellStart"/>
      <w:r>
        <w:rPr>
          <w:szCs w:val="28"/>
        </w:rPr>
        <w:t>Crim</w:t>
      </w:r>
      <w:proofErr w:type="spellEnd"/>
      <w:r>
        <w:rPr>
          <w:szCs w:val="28"/>
        </w:rPr>
        <w:t xml:space="preserve"> 233; 31 January 2008.</w:t>
      </w:r>
      <w:proofErr w:type="gramEnd"/>
    </w:p>
  </w:footnote>
  <w:footnote w:id="29">
    <w:p w:rsidR="00C35916"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Transcript Bundle, pages 1003-1031, 29 May 2013.</w:t>
      </w:r>
    </w:p>
  </w:footnote>
  <w:footnote w:id="30">
    <w:p w:rsidR="00C35916"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proofErr w:type="gramStart"/>
      <w:r>
        <w:t>Transcript Bundle, page 1004.</w:t>
      </w:r>
      <w:proofErr w:type="gramEnd"/>
    </w:p>
  </w:footnote>
  <w:footnote w:id="31">
    <w:p w:rsidR="00C35916" w:rsidRPr="006839EA"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proofErr w:type="gramStart"/>
      <w:r>
        <w:t>Transcript Bundle, page 948.</w:t>
      </w:r>
      <w:proofErr w:type="gramEnd"/>
      <w:r>
        <w:t xml:space="preserve"> Of the fact that the Hooray Securities account in the name of the applicant’s father and the bank account in the latter’s name, the subject of charge 5, had been opened on 4(3) and 7 September 2001 respectively, Mr Sutton said: “It’s unusual and that would require a level of investigation.”  Given that the securities account was used for a month only he agreed that it was used for a “special purpose” – page 975.</w:t>
      </w:r>
    </w:p>
  </w:footnote>
  <w:footnote w:id="32">
    <w:p w:rsidR="00C35916" w:rsidRPr="0058127C"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proofErr w:type="gramStart"/>
      <w:r>
        <w:rPr>
          <w:lang w:val="en-US"/>
        </w:rPr>
        <w:t>Transcript Bundle; pages 1003-4.</w:t>
      </w:r>
      <w:proofErr w:type="gramEnd"/>
    </w:p>
  </w:footnote>
  <w:footnote w:id="33">
    <w:p w:rsidR="00C35916"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proofErr w:type="gramStart"/>
      <w:r>
        <w:t>Transcript Bundle; page 1031, lines 5-14.</w:t>
      </w:r>
      <w:proofErr w:type="gramEnd"/>
    </w:p>
  </w:footnote>
  <w:footnote w:id="34">
    <w:p w:rsidR="00C35916"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proofErr w:type="gramStart"/>
      <w:r>
        <w:t>Transcript Bundle; page 1031, lines 16-21.</w:t>
      </w:r>
      <w:proofErr w:type="gramEnd"/>
    </w:p>
  </w:footnote>
  <w:footnote w:id="35">
    <w:p w:rsidR="00C35916"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Transcript Bundle, pages 1009-1010.</w:t>
      </w:r>
    </w:p>
  </w:footnote>
  <w:footnote w:id="36">
    <w:p w:rsidR="00C35916" w:rsidRPr="00AF0F16"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Appeal Bundle, pages 4135-9 (3 May 2013); page 4159 (12 November 2013).</w:t>
      </w:r>
    </w:p>
  </w:footnote>
  <w:footnote w:id="37">
    <w:p w:rsidR="00C35916" w:rsidRPr="007A2FB0"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Appeal Bundle, page 4139 (7 May 2013).</w:t>
      </w:r>
    </w:p>
  </w:footnote>
  <w:footnote w:id="38">
    <w:p w:rsidR="00C35916" w:rsidRPr="008547C4"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proofErr w:type="gramStart"/>
      <w:r>
        <w:rPr>
          <w:i/>
        </w:rPr>
        <w:t xml:space="preserve">HKSAR v </w:t>
      </w:r>
      <w:proofErr w:type="spellStart"/>
      <w:r>
        <w:rPr>
          <w:i/>
        </w:rPr>
        <w:t>Salim</w:t>
      </w:r>
      <w:proofErr w:type="spellEnd"/>
      <w:r>
        <w:rPr>
          <w:i/>
        </w:rPr>
        <w:t xml:space="preserve"> </w:t>
      </w:r>
      <w:r>
        <w:t>[2014] 6 HKC 678.</w:t>
      </w:r>
      <w:proofErr w:type="gramEnd"/>
    </w:p>
  </w:footnote>
  <w:footnote w:id="39">
    <w:p w:rsidR="00C35916" w:rsidRPr="006217FA"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Appeal Bundle, pages 770-1.</w:t>
      </w:r>
    </w:p>
  </w:footnote>
  <w:footnote w:id="40">
    <w:p w:rsidR="00C35916" w:rsidRPr="007E5D48"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r w:rsidRPr="007E5D48">
        <w:rPr>
          <w:rFonts w:eastAsia="YLJPFT+TimesNewRomanPS-ItalicMT"/>
          <w:i/>
          <w:iCs/>
        </w:rPr>
        <w:t xml:space="preserve">DPP v Merriman </w:t>
      </w:r>
      <w:r w:rsidRPr="007E5D48">
        <w:t>[1973] AC 584</w:t>
      </w:r>
      <w:r>
        <w:t>.</w:t>
      </w:r>
    </w:p>
  </w:footnote>
  <w:footnote w:id="41">
    <w:p w:rsidR="00C35916" w:rsidRPr="00E93C10" w:rsidRDefault="00C35916" w:rsidP="00124FCD">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sidRPr="007E5D48">
        <w:rPr>
          <w:rFonts w:eastAsia="YLJPFT+TimesNewRomanPS-ItalicMT"/>
          <w:i/>
          <w:iCs/>
        </w:rPr>
        <w:t>DPP v Merriman</w:t>
      </w:r>
      <w:r w:rsidRPr="00CB6C22">
        <w:t xml:space="preserve"> </w:t>
      </w:r>
      <w:r w:rsidRPr="007E5D48">
        <w:t>at 593</w:t>
      </w:r>
      <w:r>
        <w:t xml:space="preserve"> </w:t>
      </w:r>
      <w:r w:rsidRPr="007E5D48">
        <w:t>B-D</w:t>
      </w:r>
      <w:r>
        <w:t>.</w:t>
      </w:r>
    </w:p>
  </w:footnote>
  <w:footnote w:id="42">
    <w:p w:rsidR="00C35916" w:rsidRPr="00910251" w:rsidRDefault="00C35916" w:rsidP="000D4EAC">
      <w:pPr>
        <w:pStyle w:val="FootnoteText"/>
        <w:spacing w:after="0" w:line="240" w:lineRule="auto"/>
        <w:ind w:left="360" w:hanging="360"/>
        <w:contextualSpacing/>
        <w:rPr>
          <w:lang w:val="en-US"/>
        </w:rPr>
      </w:pPr>
      <w:r>
        <w:rPr>
          <w:rStyle w:val="FootnoteReference"/>
        </w:rPr>
        <w:footnoteRef/>
      </w:r>
      <w:r>
        <w:t xml:space="preserve"> </w:t>
      </w:r>
      <w:r>
        <w:rPr>
          <w:lang w:val="en-US"/>
        </w:rPr>
        <w:tab/>
      </w:r>
      <w:r w:rsidRPr="00910251">
        <w:rPr>
          <w:i/>
          <w:lang w:val="en-US"/>
        </w:rPr>
        <w:t>DPP v Merriman</w:t>
      </w:r>
      <w:r>
        <w:rPr>
          <w:lang w:val="en-US"/>
        </w:rPr>
        <w:t>, page 607 C-D.</w:t>
      </w:r>
    </w:p>
  </w:footnote>
  <w:footnote w:id="43">
    <w:p w:rsidR="00C35916" w:rsidRPr="000F5060" w:rsidRDefault="00C35916" w:rsidP="000D4EAC">
      <w:pPr>
        <w:pStyle w:val="FootnoteText"/>
        <w:tabs>
          <w:tab w:val="left" w:pos="360"/>
        </w:tabs>
        <w:spacing w:after="0" w:line="240" w:lineRule="auto"/>
        <w:ind w:left="360" w:hanging="360"/>
        <w:contextualSpacing/>
        <w:rPr>
          <w:lang w:val="en-US"/>
        </w:rPr>
      </w:pPr>
      <w:r>
        <w:rPr>
          <w:rStyle w:val="FootnoteReference"/>
        </w:rPr>
        <w:footnoteRef/>
      </w:r>
      <w:r>
        <w:t xml:space="preserve"> </w:t>
      </w:r>
      <w:r>
        <w:rPr>
          <w:i/>
          <w:lang w:val="en-US"/>
        </w:rPr>
        <w:tab/>
      </w:r>
      <w:proofErr w:type="gramStart"/>
      <w:r>
        <w:rPr>
          <w:i/>
          <w:lang w:val="en-US"/>
        </w:rPr>
        <w:t xml:space="preserve">HKSAR v </w:t>
      </w:r>
      <w:proofErr w:type="spellStart"/>
      <w:r>
        <w:rPr>
          <w:i/>
          <w:lang w:val="en-US"/>
        </w:rPr>
        <w:t>Salim</w:t>
      </w:r>
      <w:proofErr w:type="spellEnd"/>
      <w:r>
        <w:rPr>
          <w:lang w:val="en-US"/>
        </w:rPr>
        <w:t xml:space="preserve"> [2014] 6 HKC 678.</w:t>
      </w:r>
      <w:proofErr w:type="gramEnd"/>
    </w:p>
  </w:footnote>
  <w:footnote w:id="44">
    <w:p w:rsidR="00C35916" w:rsidRPr="000F5060" w:rsidRDefault="00C35916" w:rsidP="000D4EAC">
      <w:pPr>
        <w:tabs>
          <w:tab w:val="clear" w:pos="4320"/>
          <w:tab w:val="clear" w:pos="9072"/>
          <w:tab w:val="left" w:pos="360"/>
        </w:tabs>
        <w:autoSpaceDE w:val="0"/>
        <w:autoSpaceDN w:val="0"/>
        <w:adjustRightInd w:val="0"/>
        <w:snapToGrid/>
        <w:ind w:left="360" w:right="26" w:hanging="360"/>
        <w:contextualSpacing/>
        <w:jc w:val="both"/>
        <w:rPr>
          <w:rFonts w:eastAsia="PMingLiU"/>
          <w:lang w:eastAsia="zh-TW"/>
        </w:rPr>
      </w:pPr>
      <w:r w:rsidRPr="000F5060">
        <w:rPr>
          <w:rStyle w:val="FootnoteReference"/>
          <w:sz w:val="20"/>
        </w:rPr>
        <w:footnoteRef/>
      </w:r>
      <w:r w:rsidRPr="000F5060">
        <w:rPr>
          <w:sz w:val="20"/>
        </w:rPr>
        <w:t xml:space="preserve"> </w:t>
      </w:r>
      <w:r>
        <w:rPr>
          <w:rFonts w:eastAsia="PMingLiU" w:hint="eastAsia"/>
          <w:sz w:val="20"/>
          <w:lang w:eastAsia="zh-TW"/>
        </w:rPr>
        <w:tab/>
      </w:r>
      <w:proofErr w:type="gramStart"/>
      <w:r w:rsidRPr="000F5060">
        <w:rPr>
          <w:color w:val="000000"/>
          <w:sz w:val="20"/>
        </w:rPr>
        <w:t xml:space="preserve">“In the context of the offence of money laundering under section 25 of the </w:t>
      </w:r>
      <w:r w:rsidRPr="000F5060">
        <w:rPr>
          <w:i/>
          <w:color w:val="000000"/>
          <w:sz w:val="20"/>
        </w:rPr>
        <w:t>Organized and Serious Crimes Ordinance</w:t>
      </w:r>
      <w:r w:rsidRPr="000F5060">
        <w:rPr>
          <w:color w:val="000000"/>
          <w:sz w:val="20"/>
        </w:rPr>
        <w:t>, Cap.</w:t>
      </w:r>
      <w:proofErr w:type="gramEnd"/>
      <w:r w:rsidRPr="000F5060">
        <w:rPr>
          <w:color w:val="000000"/>
          <w:sz w:val="20"/>
        </w:rPr>
        <w:t xml:space="preserve"> 455 (‘the Ordinance’), how does the rule against duplicity operate?  In particular, whether the offence of money laundering, capable of being committed in any of the modes of ‘dealing’ as included in its definition under section 2 of the Ordinance, is or could be a continuing offence [so] that the rule against duplicity does not apply; and how do the exceptions to the rule against duplicity (namely ‘one transaction’ as in </w:t>
      </w:r>
      <w:r w:rsidRPr="000F5060">
        <w:rPr>
          <w:i/>
          <w:iCs/>
          <w:color w:val="000000"/>
          <w:sz w:val="20"/>
        </w:rPr>
        <w:t>DPP v Merriman</w:t>
      </w:r>
      <w:r w:rsidRPr="000F5060">
        <w:rPr>
          <w:i/>
          <w:color w:val="000000"/>
          <w:sz w:val="20"/>
        </w:rPr>
        <w:t xml:space="preserve"> </w:t>
      </w:r>
      <w:r w:rsidRPr="000F5060">
        <w:rPr>
          <w:color w:val="000000"/>
          <w:sz w:val="20"/>
        </w:rPr>
        <w:t xml:space="preserve">[1973] AC 584, ‘general deficiency’ as in </w:t>
      </w:r>
      <w:r w:rsidRPr="000F5060">
        <w:rPr>
          <w:i/>
          <w:iCs/>
          <w:color w:val="000000"/>
          <w:sz w:val="20"/>
        </w:rPr>
        <w:t>R v Tomlin</w:t>
      </w:r>
      <w:r w:rsidRPr="000F5060">
        <w:rPr>
          <w:color w:val="000000"/>
          <w:sz w:val="20"/>
        </w:rPr>
        <w:t xml:space="preserve"> [1954] 2 QB 274 and the ‘continuous course of conduct’ as in </w:t>
      </w:r>
      <w:r w:rsidRPr="000F5060">
        <w:rPr>
          <w:i/>
          <w:iCs/>
          <w:color w:val="000000"/>
          <w:sz w:val="20"/>
        </w:rPr>
        <w:t>Barton v DPP</w:t>
      </w:r>
      <w:r w:rsidRPr="000F5060">
        <w:rPr>
          <w:color w:val="000000"/>
          <w:sz w:val="20"/>
        </w:rPr>
        <w:t xml:space="preserve"> [2001] 165 JP 779) </w:t>
      </w:r>
      <w:proofErr w:type="spellStart"/>
      <w:r w:rsidRPr="000F5060">
        <w:rPr>
          <w:color w:val="000000"/>
          <w:sz w:val="20"/>
        </w:rPr>
        <w:t>appl</w:t>
      </w:r>
      <w:proofErr w:type="spellEnd"/>
      <w:r w:rsidRPr="000F5060">
        <w:rPr>
          <w:color w:val="000000"/>
          <w:sz w:val="20"/>
        </w:rPr>
        <w:t>[y] to a charge of money-laundering which alleges multiple dealings some of which [involve] money from known and different sources.”</w:t>
      </w:r>
    </w:p>
  </w:footnote>
  <w:footnote w:id="45">
    <w:p w:rsidR="00C35916" w:rsidRPr="00DD75C6"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r w:rsidRPr="00DD75C6">
        <w:rPr>
          <w:i/>
        </w:rPr>
        <w:t>HKSAR</w:t>
      </w:r>
      <w:r>
        <w:rPr>
          <w:i/>
        </w:rPr>
        <w:t xml:space="preserve"> </w:t>
      </w:r>
      <w:r w:rsidRPr="00DD75C6">
        <w:rPr>
          <w:i/>
        </w:rPr>
        <w:t xml:space="preserve">v </w:t>
      </w:r>
      <w:proofErr w:type="spellStart"/>
      <w:r w:rsidRPr="00DD75C6">
        <w:rPr>
          <w:i/>
        </w:rPr>
        <w:t>Salim</w:t>
      </w:r>
      <w:proofErr w:type="spellEnd"/>
      <w:r>
        <w:t>, paragraphs 144-145.</w:t>
      </w:r>
    </w:p>
  </w:footnote>
  <w:footnote w:id="46">
    <w:p w:rsidR="00C35916" w:rsidRPr="00090F27"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rPr>
          <w:rFonts w:eastAsia="PMingLiU" w:hint="eastAsia"/>
          <w:lang w:eastAsia="zh-TW"/>
        </w:rPr>
        <w:tab/>
      </w:r>
      <w:r w:rsidRPr="00DD75C6">
        <w:rPr>
          <w:i/>
        </w:rPr>
        <w:t>HKSAR</w:t>
      </w:r>
      <w:r>
        <w:rPr>
          <w:i/>
        </w:rPr>
        <w:t xml:space="preserve"> </w:t>
      </w:r>
      <w:r w:rsidRPr="00DD75C6">
        <w:rPr>
          <w:i/>
        </w:rPr>
        <w:t xml:space="preserve">v </w:t>
      </w:r>
      <w:proofErr w:type="spellStart"/>
      <w:r w:rsidRPr="00DD75C6">
        <w:rPr>
          <w:i/>
        </w:rPr>
        <w:t>Salim</w:t>
      </w:r>
      <w:proofErr w:type="spellEnd"/>
      <w:r>
        <w:t>, paragraph</w:t>
      </w:r>
      <w:r w:rsidRPr="009E4F83">
        <w:rPr>
          <w:rFonts w:eastAsia="PMingLiU"/>
          <w:lang w:val="en-US" w:eastAsia="zh-TW"/>
        </w:rPr>
        <w:t xml:space="preserve">s </w:t>
      </w:r>
      <w:r>
        <w:t>110-113.</w:t>
      </w:r>
    </w:p>
  </w:footnote>
  <w:footnote w:id="47">
    <w:p w:rsidR="00C35916" w:rsidRPr="0064084E"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rPr>
          <w:rFonts w:eastAsia="PMingLiU" w:hint="eastAsia"/>
          <w:lang w:eastAsia="zh-TW"/>
        </w:rPr>
        <w:tab/>
      </w:r>
      <w:proofErr w:type="spellStart"/>
      <w:proofErr w:type="gramStart"/>
      <w:r w:rsidRPr="00D40C8D">
        <w:rPr>
          <w:i/>
          <w:szCs w:val="28"/>
        </w:rPr>
        <w:t>Archbold</w:t>
      </w:r>
      <w:proofErr w:type="spellEnd"/>
      <w:r w:rsidRPr="00D40C8D">
        <w:rPr>
          <w:i/>
          <w:szCs w:val="28"/>
        </w:rPr>
        <w:t xml:space="preserve"> Hong Kong </w:t>
      </w:r>
      <w:r>
        <w:rPr>
          <w:szCs w:val="28"/>
        </w:rPr>
        <w:t>2014, Chapter 1-123-138.</w:t>
      </w:r>
      <w:proofErr w:type="gramEnd"/>
    </w:p>
  </w:footnote>
  <w:footnote w:id="48">
    <w:p w:rsidR="00C35916" w:rsidRPr="00922D15" w:rsidRDefault="00C35916" w:rsidP="000D4EAC">
      <w:pPr>
        <w:pStyle w:val="FootnoteText"/>
        <w:tabs>
          <w:tab w:val="left" w:pos="360"/>
        </w:tabs>
        <w:spacing w:after="0" w:line="240" w:lineRule="auto"/>
        <w:ind w:left="360" w:hanging="360"/>
        <w:contextualSpacing/>
        <w:jc w:val="both"/>
        <w:rPr>
          <w:sz w:val="28"/>
        </w:rPr>
      </w:pPr>
      <w:r>
        <w:rPr>
          <w:rStyle w:val="FootnoteReference"/>
        </w:rPr>
        <w:footnoteRef/>
      </w:r>
      <w:r>
        <w:t xml:space="preserve"> </w:t>
      </w:r>
      <w:r>
        <w:rPr>
          <w:rFonts w:eastAsia="PMingLiU" w:hint="eastAsia"/>
          <w:lang w:eastAsia="zh-TW"/>
        </w:rPr>
        <w:tab/>
      </w:r>
      <w:r w:rsidRPr="00DD75C6">
        <w:rPr>
          <w:i/>
        </w:rPr>
        <w:t>HKSAR</w:t>
      </w:r>
      <w:r>
        <w:rPr>
          <w:i/>
        </w:rPr>
        <w:t xml:space="preserve"> </w:t>
      </w:r>
      <w:r w:rsidRPr="00DD75C6">
        <w:rPr>
          <w:i/>
        </w:rPr>
        <w:t xml:space="preserve">v </w:t>
      </w:r>
      <w:proofErr w:type="spellStart"/>
      <w:r w:rsidRPr="00DD75C6">
        <w:rPr>
          <w:i/>
        </w:rPr>
        <w:t>Salim</w:t>
      </w:r>
      <w:proofErr w:type="spellEnd"/>
      <w:r>
        <w:t>, paragraph 127.</w:t>
      </w:r>
    </w:p>
  </w:footnote>
  <w:footnote w:id="49">
    <w:p w:rsidR="00C35916" w:rsidRPr="00922D15"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rPr>
          <w:rFonts w:eastAsia="PMingLiU" w:hint="eastAsia"/>
          <w:lang w:eastAsia="zh-TW"/>
        </w:rPr>
        <w:tab/>
      </w:r>
      <w:r w:rsidRPr="00DD75C6">
        <w:rPr>
          <w:i/>
        </w:rPr>
        <w:t>HKSAR</w:t>
      </w:r>
      <w:r>
        <w:rPr>
          <w:i/>
        </w:rPr>
        <w:t xml:space="preserve"> </w:t>
      </w:r>
      <w:r w:rsidRPr="00DD75C6">
        <w:rPr>
          <w:i/>
        </w:rPr>
        <w:t xml:space="preserve">v </w:t>
      </w:r>
      <w:proofErr w:type="spellStart"/>
      <w:r w:rsidRPr="00DD75C6">
        <w:rPr>
          <w:i/>
        </w:rPr>
        <w:t>Salim</w:t>
      </w:r>
      <w:proofErr w:type="spellEnd"/>
      <w:r>
        <w:rPr>
          <w:i/>
        </w:rPr>
        <w:t>,</w:t>
      </w:r>
      <w:r>
        <w:t xml:space="preserve"> paragraph 133.</w:t>
      </w:r>
    </w:p>
  </w:footnote>
  <w:footnote w:id="50">
    <w:p w:rsidR="00C35916" w:rsidRPr="00CA106C"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rPr>
          <w:rFonts w:eastAsia="PMingLiU" w:hint="eastAsia"/>
          <w:lang w:eastAsia="zh-TW"/>
        </w:rPr>
        <w:tab/>
      </w:r>
      <w:r w:rsidRPr="00DD75C6">
        <w:rPr>
          <w:i/>
        </w:rPr>
        <w:t>HKSAR</w:t>
      </w:r>
      <w:r>
        <w:rPr>
          <w:i/>
        </w:rPr>
        <w:t xml:space="preserve"> </w:t>
      </w:r>
      <w:r w:rsidRPr="00DD75C6">
        <w:rPr>
          <w:i/>
        </w:rPr>
        <w:t xml:space="preserve">v </w:t>
      </w:r>
      <w:proofErr w:type="spellStart"/>
      <w:r w:rsidRPr="00DD75C6">
        <w:rPr>
          <w:i/>
        </w:rPr>
        <w:t>Salim</w:t>
      </w:r>
      <w:proofErr w:type="spellEnd"/>
      <w:r>
        <w:rPr>
          <w:i/>
        </w:rPr>
        <w:t>,</w:t>
      </w:r>
      <w:r>
        <w:t xml:space="preserve"> paragraph 135.</w:t>
      </w:r>
    </w:p>
  </w:footnote>
  <w:footnote w:id="51">
    <w:p w:rsidR="00C35916" w:rsidRPr="00BA20CE"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rPr>
          <w:rFonts w:eastAsia="PMingLiU" w:hint="eastAsia"/>
          <w:lang w:eastAsia="zh-TW"/>
        </w:rPr>
        <w:tab/>
      </w:r>
      <w:r w:rsidRPr="00DD75C6">
        <w:rPr>
          <w:i/>
        </w:rPr>
        <w:t>HKSAR</w:t>
      </w:r>
      <w:r>
        <w:rPr>
          <w:i/>
        </w:rPr>
        <w:t xml:space="preserve"> </w:t>
      </w:r>
      <w:r w:rsidRPr="00DD75C6">
        <w:rPr>
          <w:i/>
        </w:rPr>
        <w:t xml:space="preserve">v </w:t>
      </w:r>
      <w:proofErr w:type="spellStart"/>
      <w:r w:rsidRPr="00DD75C6">
        <w:rPr>
          <w:i/>
        </w:rPr>
        <w:t>Salim</w:t>
      </w:r>
      <w:proofErr w:type="spellEnd"/>
      <w:r>
        <w:rPr>
          <w:i/>
        </w:rPr>
        <w:t>,</w:t>
      </w:r>
      <w:r>
        <w:t xml:space="preserve"> paragraph 137.</w:t>
      </w:r>
    </w:p>
  </w:footnote>
  <w:footnote w:id="52">
    <w:p w:rsidR="00C35916" w:rsidRPr="00460B37"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rPr>
          <w:rFonts w:eastAsia="PMingLiU" w:hint="eastAsia"/>
          <w:lang w:eastAsia="zh-TW"/>
        </w:rPr>
        <w:tab/>
      </w:r>
      <w:proofErr w:type="gramStart"/>
      <w:r w:rsidRPr="00460B37">
        <w:rPr>
          <w:i/>
        </w:rPr>
        <w:t>Barton v Director of Public Prosecutions</w:t>
      </w:r>
      <w:r>
        <w:rPr>
          <w:i/>
        </w:rPr>
        <w:t xml:space="preserve"> </w:t>
      </w:r>
      <w:r>
        <w:t xml:space="preserve">(2001) 165 </w:t>
      </w:r>
      <w:r w:rsidRPr="00293944">
        <w:t xml:space="preserve">JP </w:t>
      </w:r>
      <w:r>
        <w:t>775 at 781, paragraph 6.</w:t>
      </w:r>
      <w:proofErr w:type="gramEnd"/>
    </w:p>
  </w:footnote>
  <w:footnote w:id="53">
    <w:p w:rsidR="00C35916" w:rsidRPr="008E482C"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r w:rsidRPr="00DD75C6">
        <w:rPr>
          <w:i/>
        </w:rPr>
        <w:t>HKSAR</w:t>
      </w:r>
      <w:r>
        <w:rPr>
          <w:i/>
        </w:rPr>
        <w:t xml:space="preserve"> </w:t>
      </w:r>
      <w:r w:rsidRPr="00DD75C6">
        <w:rPr>
          <w:i/>
        </w:rPr>
        <w:t xml:space="preserve">v </w:t>
      </w:r>
      <w:proofErr w:type="spellStart"/>
      <w:r w:rsidRPr="00DD75C6">
        <w:rPr>
          <w:i/>
        </w:rPr>
        <w:t>Salim</w:t>
      </w:r>
      <w:proofErr w:type="spellEnd"/>
      <w:r>
        <w:t>, paragraphs 147-148.</w:t>
      </w:r>
    </w:p>
  </w:footnote>
  <w:footnote w:id="54">
    <w:p w:rsidR="00C35916" w:rsidRPr="00460B37"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r w:rsidRPr="00293944">
        <w:rPr>
          <w:i/>
        </w:rPr>
        <w:t>Barton v Director of Public Prosecutions</w:t>
      </w:r>
      <w:r>
        <w:t>; page 785, paragraph 23.</w:t>
      </w:r>
    </w:p>
  </w:footnote>
  <w:footnote w:id="55">
    <w:p w:rsidR="00C35916" w:rsidRPr="00811953"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r w:rsidRPr="00811953">
        <w:rPr>
          <w:i/>
        </w:rPr>
        <w:t>R v Ali</w:t>
      </w:r>
      <w:r>
        <w:rPr>
          <w:i/>
          <w:sz w:val="28"/>
          <w:szCs w:val="28"/>
        </w:rPr>
        <w:t xml:space="preserve"> </w:t>
      </w:r>
      <w:r>
        <w:t>[2006] QB 322 at 357 G-H, paragraph 150.</w:t>
      </w:r>
    </w:p>
  </w:footnote>
  <w:footnote w:id="56">
    <w:p w:rsidR="00C35916" w:rsidRPr="00811953"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r w:rsidRPr="00811953">
        <w:rPr>
          <w:i/>
        </w:rPr>
        <w:t>R v Ali</w:t>
      </w:r>
      <w:r>
        <w:t>, page 358 A-B, paragraph 151.</w:t>
      </w:r>
    </w:p>
  </w:footnote>
  <w:footnote w:id="57">
    <w:p w:rsidR="00C35916" w:rsidRPr="0053152C"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Practice Direction (Criminal Proceedings: Consolidation) as amended by</w:t>
      </w:r>
      <w:r w:rsidRPr="0053152C">
        <w:t xml:space="preserve"> </w:t>
      </w:r>
      <w:r>
        <w:t>Practice Direction (Criminal Proceedings: Further Directions) [2007] 1 WLR 1790.</w:t>
      </w:r>
    </w:p>
  </w:footnote>
  <w:footnote w:id="58">
    <w:p w:rsidR="00C35916" w:rsidRPr="00B82134"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sidRPr="00E04987">
        <w:rPr>
          <w:i/>
          <w:szCs w:val="28"/>
        </w:rPr>
        <w:t>R v Middleton</w:t>
      </w:r>
      <w:r>
        <w:rPr>
          <w:szCs w:val="28"/>
        </w:rPr>
        <w:t>, paragraph 40.</w:t>
      </w:r>
    </w:p>
  </w:footnote>
  <w:footnote w:id="59">
    <w:p w:rsidR="00C35916" w:rsidRPr="00E04987"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sidRPr="00E04987">
        <w:rPr>
          <w:i/>
          <w:szCs w:val="28"/>
        </w:rPr>
        <w:t>R v Middleton</w:t>
      </w:r>
      <w:r>
        <w:rPr>
          <w:szCs w:val="28"/>
        </w:rPr>
        <w:t>, paragraph 53.</w:t>
      </w:r>
    </w:p>
  </w:footnote>
  <w:footnote w:id="60">
    <w:p w:rsidR="00C35916" w:rsidRPr="00E04987"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r w:rsidRPr="00E04987">
        <w:rPr>
          <w:i/>
          <w:szCs w:val="28"/>
        </w:rPr>
        <w:t>R v Middleton</w:t>
      </w:r>
      <w:r>
        <w:rPr>
          <w:i/>
          <w:szCs w:val="28"/>
        </w:rPr>
        <w:t>,</w:t>
      </w:r>
      <w:r>
        <w:rPr>
          <w:szCs w:val="28"/>
        </w:rPr>
        <w:t xml:space="preserve"> paragraph 52</w:t>
      </w:r>
      <w:r w:rsidR="002C01E0">
        <w:rPr>
          <w:szCs w:val="28"/>
        </w:rPr>
        <w:t>.</w:t>
      </w:r>
    </w:p>
  </w:footnote>
  <w:footnote w:id="61">
    <w:p w:rsidR="00C35916" w:rsidRPr="00D00BC2"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r w:rsidRPr="00D257EF">
        <w:rPr>
          <w:i/>
        </w:rPr>
        <w:t>R v Middleton</w:t>
      </w:r>
      <w:r>
        <w:t>, paragraph 43.</w:t>
      </w:r>
    </w:p>
  </w:footnote>
  <w:footnote w:id="62">
    <w:p w:rsidR="00C35916" w:rsidRPr="00D65D72"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proofErr w:type="gramStart"/>
      <w:r w:rsidRPr="00D65D72">
        <w:rPr>
          <w:i/>
        </w:rPr>
        <w:t xml:space="preserve">R v R </w:t>
      </w:r>
      <w:r>
        <w:t>[2007] 1 Cr. App. R. 10, 21 July 2006.</w:t>
      </w:r>
      <w:proofErr w:type="gramEnd"/>
    </w:p>
  </w:footnote>
  <w:footnote w:id="63">
    <w:p w:rsidR="00C35916" w:rsidRDefault="00C35916" w:rsidP="000D4EAC">
      <w:pPr>
        <w:pStyle w:val="FootnoteText"/>
        <w:tabs>
          <w:tab w:val="left" w:pos="360"/>
          <w:tab w:val="left" w:pos="540"/>
          <w:tab w:val="left" w:pos="720"/>
        </w:tabs>
        <w:spacing w:after="0" w:line="240" w:lineRule="auto"/>
        <w:ind w:left="540" w:hanging="540"/>
        <w:contextualSpacing/>
        <w:jc w:val="both"/>
        <w:rPr>
          <w:lang w:val="en-US"/>
        </w:rPr>
      </w:pPr>
      <w:r>
        <w:rPr>
          <w:rStyle w:val="FootnoteReference"/>
        </w:rPr>
        <w:footnoteRef/>
      </w:r>
      <w:r>
        <w:tab/>
        <w:t>“</w:t>
      </w:r>
      <w:r>
        <w:tab/>
      </w:r>
      <w:r>
        <w:rPr>
          <w:lang w:val="en-US"/>
        </w:rPr>
        <w:t>(2)  A person is guilty of an offence if, and knowing or having reasonable grounds to suspect that the property is, in whole or in part directly or indirectly, represents another person’s proceeds of drug trafficking he-</w:t>
      </w:r>
    </w:p>
    <w:p w:rsidR="00C35916" w:rsidRDefault="00C35916" w:rsidP="000D4EAC">
      <w:pPr>
        <w:pStyle w:val="FootnoteText"/>
        <w:numPr>
          <w:ilvl w:val="0"/>
          <w:numId w:val="7"/>
        </w:numPr>
        <w:tabs>
          <w:tab w:val="left" w:pos="900"/>
          <w:tab w:val="left" w:pos="1260"/>
        </w:tabs>
        <w:spacing w:after="0" w:line="240" w:lineRule="auto"/>
        <w:ind w:firstLine="0"/>
        <w:contextualSpacing/>
        <w:jc w:val="both"/>
        <w:rPr>
          <w:lang w:val="en-US"/>
        </w:rPr>
      </w:pPr>
      <w:r>
        <w:rPr>
          <w:lang w:val="en-US"/>
        </w:rPr>
        <w:t>conceals or disguises that property, or</w:t>
      </w:r>
    </w:p>
    <w:p w:rsidR="00C35916" w:rsidRDefault="00C35916" w:rsidP="000D4EAC">
      <w:pPr>
        <w:pStyle w:val="FootnoteText"/>
        <w:numPr>
          <w:ilvl w:val="0"/>
          <w:numId w:val="7"/>
        </w:numPr>
        <w:tabs>
          <w:tab w:val="left" w:pos="900"/>
          <w:tab w:val="left" w:pos="1260"/>
        </w:tabs>
        <w:spacing w:after="0" w:line="240" w:lineRule="auto"/>
        <w:ind w:firstLine="0"/>
        <w:contextualSpacing/>
        <w:jc w:val="both"/>
        <w:rPr>
          <w:lang w:val="en-US"/>
        </w:rPr>
      </w:pPr>
      <w:r>
        <w:rPr>
          <w:lang w:val="en-US"/>
        </w:rPr>
        <w:t>converts or transfers that property or removes it from the jurisdiction,</w:t>
      </w:r>
    </w:p>
    <w:p w:rsidR="00C35916" w:rsidRPr="002A7F7C" w:rsidRDefault="00C35916" w:rsidP="000D4EAC">
      <w:pPr>
        <w:pStyle w:val="FootnoteText"/>
        <w:tabs>
          <w:tab w:val="left" w:pos="540"/>
          <w:tab w:val="left" w:pos="720"/>
        </w:tabs>
        <w:spacing w:after="0" w:line="240" w:lineRule="auto"/>
        <w:ind w:left="540"/>
        <w:contextualSpacing/>
        <w:jc w:val="both"/>
        <w:rPr>
          <w:lang w:val="en-US"/>
        </w:rPr>
      </w:pPr>
      <w:proofErr w:type="gramStart"/>
      <w:r>
        <w:rPr>
          <w:lang w:val="en-US"/>
        </w:rPr>
        <w:t>for</w:t>
      </w:r>
      <w:proofErr w:type="gramEnd"/>
      <w:r>
        <w:rPr>
          <w:lang w:val="en-US"/>
        </w:rPr>
        <w:t xml:space="preserve"> the purpose of assisting any person to avoid prosecution for a drug trafficking offence or the making or enforcement of a confiscation order.”</w:t>
      </w:r>
    </w:p>
  </w:footnote>
  <w:footnote w:id="64">
    <w:p w:rsidR="00C35916" w:rsidRPr="00D65D72"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r w:rsidRPr="00D65D72">
        <w:rPr>
          <w:i/>
        </w:rPr>
        <w:t>R v R</w:t>
      </w:r>
      <w:r>
        <w:t>, paragraph 60.</w:t>
      </w:r>
    </w:p>
  </w:footnote>
  <w:footnote w:id="65">
    <w:p w:rsidR="00C35916" w:rsidRPr="005D24E2"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r w:rsidRPr="00293944">
        <w:rPr>
          <w:i/>
        </w:rPr>
        <w:t>Barton v Director of Public Prosecutions</w:t>
      </w:r>
      <w:r>
        <w:t>, paragraph 23.</w:t>
      </w:r>
    </w:p>
  </w:footnote>
  <w:footnote w:id="66">
    <w:p w:rsidR="00C35916" w:rsidRPr="00945353"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Appeal Bundle, pages 375-9.</w:t>
      </w:r>
    </w:p>
  </w:footnote>
  <w:footnote w:id="67">
    <w:p w:rsidR="00C35916" w:rsidRPr="00D432E1"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proofErr w:type="gramStart"/>
      <w:r>
        <w:t>Reasons for Verdict, paragraphs 308-320; 389-396.</w:t>
      </w:r>
      <w:proofErr w:type="gramEnd"/>
    </w:p>
  </w:footnote>
  <w:footnote w:id="68">
    <w:p w:rsidR="00C35916" w:rsidRPr="00D432E1"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proofErr w:type="gramStart"/>
      <w:r>
        <w:t>Reasons for Verdict, paragraphs 344-346; 412-418.</w:t>
      </w:r>
      <w:proofErr w:type="gramEnd"/>
    </w:p>
  </w:footnote>
  <w:footnote w:id="69">
    <w:p w:rsidR="00C35916" w:rsidRPr="0074068F"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proofErr w:type="gramStart"/>
      <w:r>
        <w:t>Reasons for Verdict, paragraphs 631, 67; 643; 652; and 658.</w:t>
      </w:r>
      <w:proofErr w:type="gramEnd"/>
    </w:p>
  </w:footnote>
  <w:footnote w:id="70">
    <w:p w:rsidR="00C35916" w:rsidRPr="00EB14BB"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paragraphs 547-628: “Findings”.</w:t>
      </w:r>
    </w:p>
  </w:footnote>
  <w:footnote w:id="71">
    <w:p w:rsidR="00C35916" w:rsidRPr="00C947F3"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proofErr w:type="gramStart"/>
      <w:r>
        <w:rPr>
          <w:lang w:val="en-US"/>
        </w:rPr>
        <w:t>Reasons for Verdict, paragraphs 503-5.</w:t>
      </w:r>
      <w:proofErr w:type="gramEnd"/>
    </w:p>
  </w:footnote>
  <w:footnote w:id="72">
    <w:p w:rsidR="00C35916" w:rsidRPr="00C947F3"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612.</w:t>
      </w:r>
    </w:p>
  </w:footnote>
  <w:footnote w:id="73">
    <w:p w:rsidR="00C35916" w:rsidRPr="00EB14BB"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629.</w:t>
      </w:r>
    </w:p>
  </w:footnote>
  <w:footnote w:id="74">
    <w:p w:rsidR="00C35916" w:rsidRPr="0074068F"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proofErr w:type="gramStart"/>
      <w:r>
        <w:t>Reasons for Verdict, paragraphs 571-5.</w:t>
      </w:r>
      <w:proofErr w:type="gramEnd"/>
    </w:p>
  </w:footnote>
  <w:footnote w:id="75">
    <w:p w:rsidR="00C35916" w:rsidRPr="006005C4"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proofErr w:type="gramStart"/>
      <w:r>
        <w:t>Reasons for Verdict, paragraphs 583-600.</w:t>
      </w:r>
      <w:proofErr w:type="gramEnd"/>
    </w:p>
  </w:footnote>
  <w:footnote w:id="76">
    <w:p w:rsidR="00C35916" w:rsidRPr="005E3D2A"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Reasons for Verdict, paragraph 599.</w:t>
      </w:r>
    </w:p>
  </w:footnote>
  <w:footnote w:id="77">
    <w:p w:rsidR="00C35916" w:rsidRPr="00435719" w:rsidRDefault="00C35916" w:rsidP="00C35916">
      <w:pPr>
        <w:pStyle w:val="FootnoteText"/>
        <w:tabs>
          <w:tab w:val="left" w:pos="360"/>
        </w:tabs>
        <w:spacing w:after="0" w:line="240" w:lineRule="auto"/>
        <w:ind w:left="360" w:hanging="360"/>
        <w:contextualSpacing/>
        <w:jc w:val="both"/>
      </w:pPr>
      <w:r>
        <w:rPr>
          <w:rStyle w:val="FootnoteReference"/>
        </w:rPr>
        <w:footnoteRef/>
      </w:r>
      <w:r>
        <w:t xml:space="preserve"> </w:t>
      </w:r>
      <w:r>
        <w:tab/>
        <w:t>Reasons for Verdict, paragraph 620.</w:t>
      </w:r>
    </w:p>
  </w:footnote>
  <w:footnote w:id="78">
    <w:p w:rsidR="00C35916" w:rsidRPr="00023DF3"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proofErr w:type="gramStart"/>
      <w:r>
        <w:rPr>
          <w:lang w:val="en-US"/>
        </w:rPr>
        <w:t>Reasons for Verdict, paragraphs 631 and 635.</w:t>
      </w:r>
      <w:proofErr w:type="gramEnd"/>
    </w:p>
  </w:footnote>
  <w:footnote w:id="79">
    <w:p w:rsidR="00C35916" w:rsidRPr="0091600C"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proofErr w:type="gramStart"/>
      <w:r>
        <w:rPr>
          <w:lang w:val="en-US"/>
        </w:rPr>
        <w:t>Reasons for Verdict, paragraphs 632 and 635.</w:t>
      </w:r>
      <w:proofErr w:type="gramEnd"/>
    </w:p>
  </w:footnote>
  <w:footnote w:id="80">
    <w:p w:rsidR="00C35916" w:rsidRPr="00365DEF"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 xml:space="preserve">Reasons for Verdict, paragraph 634.  Note, the judge’s identification of Au </w:t>
      </w:r>
      <w:proofErr w:type="spellStart"/>
      <w:r>
        <w:t>Yeung</w:t>
      </w:r>
      <w:proofErr w:type="spellEnd"/>
      <w:r>
        <w:t xml:space="preserve"> Kai </w:t>
      </w:r>
      <w:proofErr w:type="spellStart"/>
      <w:r>
        <w:t>Chor</w:t>
      </w:r>
      <w:proofErr w:type="spellEnd"/>
      <w:r>
        <w:t xml:space="preserve"> as one of those persons does not accord with the applicant’s own testimony: Appeal Bundle, Transcript, page </w:t>
      </w:r>
      <w:r w:rsidRPr="009E3738">
        <w:t>3053.</w:t>
      </w:r>
    </w:p>
  </w:footnote>
  <w:footnote w:id="81">
    <w:p w:rsidR="00C35916" w:rsidRPr="0091600C"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635.</w:t>
      </w:r>
    </w:p>
  </w:footnote>
  <w:footnote w:id="82">
    <w:p w:rsidR="00C35916" w:rsidRPr="00E36EF7"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Reasons for Verdict, paragraph 629.</w:t>
      </w:r>
    </w:p>
  </w:footnote>
  <w:footnote w:id="83">
    <w:p w:rsidR="00C35916" w:rsidRPr="002A1164"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Reasons for Verdict, paragraph 630.</w:t>
      </w:r>
    </w:p>
  </w:footnote>
  <w:footnote w:id="84">
    <w:p w:rsidR="00C35916" w:rsidRPr="000F6F8B"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Appeal Bundle, pages 186-7, paragraphs 5.3.2-5.3.4 in which he described the movement of monies in 24 deposits matched by 24 withdrawals into and from accounts A-C; paragraph 6.2(iii); page 398, paragraph 4.2.33-34, in which he described the pattern of the deposits and withdrawals from account C as suggesting that it was a repository of funds.</w:t>
      </w:r>
    </w:p>
  </w:footnote>
  <w:footnote w:id="85">
    <w:p w:rsidR="00C35916" w:rsidRPr="00967187"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Reasons for Verdict, paragraph 18.</w:t>
      </w:r>
    </w:p>
  </w:footnote>
  <w:footnote w:id="86">
    <w:p w:rsidR="00C35916" w:rsidRPr="00086170"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proofErr w:type="gramStart"/>
      <w:r>
        <w:t>The prosecution written closing speech; paragraphs 36, 67, 221 and 229(vi).</w:t>
      </w:r>
      <w:proofErr w:type="gramEnd"/>
      <w:r>
        <w:t xml:space="preserve">  Paragraph 36: “The equally and relatively low opening balance and ending balance of each of the five subject bank accounts strongly suggests that each account was used as a repository for funds during the relevant period”.  The period to which reference was made was various dates in 2001 and various dates in 2007.  Paragraph 67: reference was made specifically to Sgt Kwan’s schedule (Appeal Bundle, page 686).</w:t>
      </w:r>
    </w:p>
  </w:footnote>
  <w:footnote w:id="87">
    <w:p w:rsidR="00C35916" w:rsidRPr="00161EBD"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Reasons for Verdict, paragraph 630.</w:t>
      </w:r>
    </w:p>
  </w:footnote>
  <w:footnote w:id="88">
    <w:p w:rsidR="00C35916" w:rsidRPr="003C4557"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Appeal Bundle, pages 163-173, Mr Sutton’s first report, paragraph 3.2.6-about $43 million was deposited into account A from the applicant’s other bank accounts in 43 transactions and, (paragraph 3.2.8-43), about $47.9 million was remitted to other bank accounts of the applicant by 48 transactions.</w:t>
      </w:r>
    </w:p>
  </w:footnote>
  <w:footnote w:id="89">
    <w:p w:rsidR="00C35916" w:rsidRPr="007948BE"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Appeal Bundle, pages 366-393, Mr Sutton’s second report.</w:t>
      </w:r>
    </w:p>
  </w:footnote>
  <w:footnote w:id="90">
    <w:p w:rsidR="00C35916" w:rsidRPr="0021140B"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Reasons for Verdict, paragraph 11.</w:t>
      </w:r>
    </w:p>
  </w:footnote>
  <w:footnote w:id="91">
    <w:p w:rsidR="00C35916" w:rsidRPr="004C2F5D"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Appeal Bundle, pages 558 and 562.</w:t>
      </w:r>
    </w:p>
  </w:footnote>
  <w:footnote w:id="92">
    <w:p w:rsidR="00C35916" w:rsidRPr="00051204"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Reasons for Verdict: Charge 1 a difference of $97,000 on aggregate deposits and withdrawals of about $347 million (paragraphs 631); Charge 2 a difference of $67,000 on aggregate deposits and withdrawals of about $254 million (paragraph 637); Charge 3 a difference of $2,926 on aggregate deposits and withdrawals of about $31 million (paragraph 643); Charge 4 a difference of $136,720 on aggregate deposits and withdrawals of about $6.5 million (paragraph 652); and Charge 5 a difference of $90,599 on aggregate deposits and withdrawals of about $81 million (paragraphs 658 and 659).</w:t>
      </w:r>
    </w:p>
  </w:footnote>
  <w:footnote w:id="93">
    <w:p w:rsidR="00C35916" w:rsidRPr="00A0002B"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proofErr w:type="gramStart"/>
      <w:r>
        <w:t>Reasons for Verdict, paragraphs 635, 642, 647, 657 and 669.</w:t>
      </w:r>
      <w:proofErr w:type="gramEnd"/>
    </w:p>
  </w:footnote>
  <w:footnote w:id="94">
    <w:p w:rsidR="00C35916" w:rsidRPr="002E3A9E" w:rsidRDefault="00C35916" w:rsidP="000D4EAC">
      <w:pPr>
        <w:pStyle w:val="FootnoteText"/>
        <w:tabs>
          <w:tab w:val="left" w:pos="360"/>
        </w:tabs>
        <w:spacing w:after="0" w:line="240" w:lineRule="auto"/>
        <w:ind w:left="360" w:hanging="360"/>
        <w:contextualSpacing/>
        <w:jc w:val="both"/>
      </w:pPr>
      <w:r>
        <w:rPr>
          <w:rStyle w:val="FootnoteReference"/>
        </w:rPr>
        <w:footnoteRef/>
      </w:r>
      <w:r>
        <w:tab/>
        <w:t>Reasons for Verdict, paragraph 620.</w:t>
      </w:r>
    </w:p>
  </w:footnote>
  <w:footnote w:id="95">
    <w:p w:rsidR="00C35916" w:rsidRPr="001638FD"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Reasons for Verdict, paragraph 607.</w:t>
      </w:r>
    </w:p>
  </w:footnote>
  <w:footnote w:id="96">
    <w:p w:rsidR="00C35916" w:rsidRPr="00AB3DE1"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Reasons for Verdict, paragraph 576.</w:t>
      </w:r>
    </w:p>
  </w:footnote>
  <w:footnote w:id="97">
    <w:p w:rsidR="00C35916" w:rsidRPr="00511AD5"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t>Reasons for Verdict, paragraph 600.</w:t>
      </w:r>
    </w:p>
  </w:footnote>
  <w:footnote w:id="98">
    <w:p w:rsidR="00C35916" w:rsidRPr="00ED7F91"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Reasons for Verdict, paragraph 662.</w:t>
      </w:r>
    </w:p>
  </w:footnote>
  <w:footnote w:id="99">
    <w:p w:rsidR="00C35916" w:rsidRPr="004D4B79"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Reasons for Verdict, paragraph 635.</w:t>
      </w:r>
    </w:p>
  </w:footnote>
  <w:footnote w:id="100">
    <w:p w:rsidR="00C35916" w:rsidRPr="002D36BD"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t>Reasons for Verdict, paragraph 599</w:t>
      </w:r>
      <w:r w:rsidR="00E63307">
        <w:t>.</w:t>
      </w:r>
    </w:p>
  </w:footnote>
  <w:footnote w:id="101">
    <w:p w:rsidR="00C35916" w:rsidRPr="00995138"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Reasons for Verdict, paragraph 636.</w:t>
      </w:r>
    </w:p>
  </w:footnote>
  <w:footnote w:id="102">
    <w:p w:rsidR="00C35916" w:rsidRPr="00AF34FB"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sidRPr="0034327A">
        <w:rPr>
          <w:i/>
        </w:rPr>
        <w:t>Pang Hung Fai v HKSAR</w:t>
      </w:r>
      <w:r w:rsidRPr="00AF34FB">
        <w:rPr>
          <w:i/>
        </w:rPr>
        <w:t xml:space="preserve">, </w:t>
      </w:r>
      <w:r w:rsidRPr="00AF34FB">
        <w:t>paragraphs 44-48.</w:t>
      </w:r>
    </w:p>
  </w:footnote>
  <w:footnote w:id="103">
    <w:p w:rsidR="00C35916" w:rsidRPr="00D560D8"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r w:rsidRPr="00456800">
        <w:rPr>
          <w:i/>
        </w:rPr>
        <w:t>Pang Hung Fai v HKSAR</w:t>
      </w:r>
      <w:r w:rsidRPr="00C92265">
        <w:t>,</w:t>
      </w:r>
      <w:r w:rsidRPr="002D7FA9">
        <w:rPr>
          <w:i/>
        </w:rPr>
        <w:t xml:space="preserve"> </w:t>
      </w:r>
      <w:r>
        <w:t>paragraph 30</w:t>
      </w:r>
      <w:r w:rsidR="00C82C97">
        <w:t>.</w:t>
      </w:r>
    </w:p>
  </w:footnote>
  <w:footnote w:id="104">
    <w:p w:rsidR="00C35916" w:rsidRPr="002D7FA9"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r w:rsidRPr="00456800">
        <w:rPr>
          <w:i/>
        </w:rPr>
        <w:t>Pang Hung Fai v HKSAR</w:t>
      </w:r>
      <w:r w:rsidRPr="00C92265">
        <w:t>,</w:t>
      </w:r>
      <w:r w:rsidRPr="002D7FA9">
        <w:rPr>
          <w:i/>
        </w:rPr>
        <w:t xml:space="preserve"> </w:t>
      </w:r>
      <w:r w:rsidRPr="002D7FA9">
        <w:t>paragraph 49.</w:t>
      </w:r>
    </w:p>
  </w:footnote>
  <w:footnote w:id="105">
    <w:p w:rsidR="00C35916" w:rsidRPr="00D560D8"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r w:rsidRPr="00456800">
        <w:rPr>
          <w:i/>
        </w:rPr>
        <w:t>Pang Hung Fai v HKSAR</w:t>
      </w:r>
      <w:r w:rsidRPr="00C92265">
        <w:t>,</w:t>
      </w:r>
      <w:r w:rsidRPr="002D7FA9">
        <w:rPr>
          <w:i/>
        </w:rPr>
        <w:t xml:space="preserve"> </w:t>
      </w:r>
      <w:r>
        <w:t>paragraph 55.</w:t>
      </w:r>
    </w:p>
  </w:footnote>
  <w:footnote w:id="106">
    <w:p w:rsidR="00C35916" w:rsidRPr="0037631A" w:rsidRDefault="00C35916" w:rsidP="000D4EAC">
      <w:pPr>
        <w:pStyle w:val="Final"/>
        <w:tabs>
          <w:tab w:val="left" w:pos="360"/>
        </w:tabs>
        <w:snapToGrid/>
        <w:spacing w:line="240" w:lineRule="auto"/>
        <w:ind w:left="360" w:right="746" w:hanging="360"/>
        <w:contextualSpacing/>
        <w:jc w:val="both"/>
      </w:pPr>
      <w:r w:rsidRPr="002D7FA9">
        <w:rPr>
          <w:rStyle w:val="FootnoteReference"/>
          <w:sz w:val="20"/>
        </w:rPr>
        <w:footnoteRef/>
      </w:r>
      <w:r w:rsidRPr="002D7FA9">
        <w:rPr>
          <w:sz w:val="20"/>
        </w:rPr>
        <w:t xml:space="preserve"> </w:t>
      </w:r>
      <w:r>
        <w:rPr>
          <w:sz w:val="20"/>
        </w:rPr>
        <w:tab/>
      </w:r>
      <w:proofErr w:type="spellStart"/>
      <w:proofErr w:type="gramStart"/>
      <w:r w:rsidRPr="00456800">
        <w:rPr>
          <w:i/>
          <w:sz w:val="20"/>
        </w:rPr>
        <w:t>Seng</w:t>
      </w:r>
      <w:proofErr w:type="spellEnd"/>
      <w:r w:rsidRPr="00456800">
        <w:rPr>
          <w:i/>
          <w:sz w:val="20"/>
        </w:rPr>
        <w:t xml:space="preserve"> </w:t>
      </w:r>
      <w:proofErr w:type="spellStart"/>
      <w:r w:rsidRPr="00456800">
        <w:rPr>
          <w:i/>
          <w:sz w:val="20"/>
        </w:rPr>
        <w:t>Yuet</w:t>
      </w:r>
      <w:proofErr w:type="spellEnd"/>
      <w:r w:rsidRPr="00456800">
        <w:rPr>
          <w:i/>
          <w:sz w:val="20"/>
        </w:rPr>
        <w:t xml:space="preserve"> Fong v HKSAR</w:t>
      </w:r>
      <w:r w:rsidRPr="002D7FA9">
        <w:rPr>
          <w:sz w:val="20"/>
        </w:rPr>
        <w:t xml:space="preserve"> [1999] 2 HKC 833 at 836 E-F.</w:t>
      </w:r>
      <w:proofErr w:type="gramEnd"/>
    </w:p>
  </w:footnote>
  <w:footnote w:id="107">
    <w:p w:rsidR="00C35916" w:rsidRPr="00D560D8"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r w:rsidRPr="00456800">
        <w:rPr>
          <w:i/>
        </w:rPr>
        <w:t>Pang Hung Fai v HKSAR</w:t>
      </w:r>
      <w:r w:rsidRPr="00C92265">
        <w:t>,</w:t>
      </w:r>
      <w:r w:rsidRPr="002D7FA9">
        <w:rPr>
          <w:i/>
        </w:rPr>
        <w:t xml:space="preserve"> </w:t>
      </w:r>
      <w:r>
        <w:t>paragraph 56.</w:t>
      </w:r>
    </w:p>
  </w:footnote>
  <w:footnote w:id="108">
    <w:p w:rsidR="00C35916" w:rsidRPr="007C45C7"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r w:rsidRPr="00456800">
        <w:rPr>
          <w:i/>
        </w:rPr>
        <w:t>Pang Hung Fai v HKSAR</w:t>
      </w:r>
      <w:r w:rsidRPr="00C92265">
        <w:t>,</w:t>
      </w:r>
      <w:r w:rsidRPr="00AF34FB">
        <w:rPr>
          <w:i/>
        </w:rPr>
        <w:t xml:space="preserve"> </w:t>
      </w:r>
      <w:r>
        <w:t>paragraph 69.</w:t>
      </w:r>
    </w:p>
  </w:footnote>
  <w:footnote w:id="109">
    <w:p w:rsidR="00C35916" w:rsidRPr="007C45C7"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sidRPr="00701E7F">
        <w:rPr>
          <w:i/>
        </w:rPr>
        <w:t>Pang Hung Fai v HKSAR</w:t>
      </w:r>
      <w:r w:rsidRPr="00C92265">
        <w:t>,</w:t>
      </w:r>
      <w:r w:rsidRPr="00AF34FB">
        <w:rPr>
          <w:i/>
        </w:rPr>
        <w:t xml:space="preserve"> </w:t>
      </w:r>
      <w:r>
        <w:t>paragraph 77.</w:t>
      </w:r>
    </w:p>
  </w:footnote>
  <w:footnote w:id="110">
    <w:p w:rsidR="00C35916" w:rsidRPr="001456AD"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sidRPr="00701E7F">
        <w:rPr>
          <w:i/>
        </w:rPr>
        <w:t>Pang Hung Fai v HKSAR</w:t>
      </w:r>
      <w:r w:rsidRPr="00C92265">
        <w:t>,</w:t>
      </w:r>
      <w:r w:rsidRPr="00AF34FB">
        <w:rPr>
          <w:i/>
        </w:rPr>
        <w:t xml:space="preserve"> </w:t>
      </w:r>
      <w:r>
        <w:t>paragraph 83.</w:t>
      </w:r>
    </w:p>
  </w:footnote>
  <w:footnote w:id="111">
    <w:p w:rsidR="00C35916" w:rsidRPr="000A14C6"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sidRPr="00701E7F">
        <w:rPr>
          <w:i/>
        </w:rPr>
        <w:t>Pang Hung Fai v HKS</w:t>
      </w:r>
      <w:r w:rsidRPr="00AF34FB">
        <w:rPr>
          <w:i/>
        </w:rPr>
        <w:t>AR</w:t>
      </w:r>
      <w:r w:rsidRPr="00C92265">
        <w:t xml:space="preserve">, </w:t>
      </w:r>
      <w:r>
        <w:t>paragraph 84.</w:t>
      </w:r>
    </w:p>
  </w:footnote>
  <w:footnote w:id="112">
    <w:p w:rsidR="00C35916" w:rsidRPr="000A14C6"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sidRPr="00701E7F">
        <w:rPr>
          <w:i/>
        </w:rPr>
        <w:t>Pang Hung Fai v HKSAR</w:t>
      </w:r>
      <w:r w:rsidRPr="00C92265">
        <w:t>,</w:t>
      </w:r>
      <w:r w:rsidRPr="00AF34FB">
        <w:rPr>
          <w:i/>
        </w:rPr>
        <w:t xml:space="preserve"> </w:t>
      </w:r>
      <w:r>
        <w:t>paragraph 83.</w:t>
      </w:r>
    </w:p>
  </w:footnote>
  <w:footnote w:id="113">
    <w:p w:rsidR="00C35916" w:rsidRPr="000A14C6"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sidRPr="00701E7F">
        <w:rPr>
          <w:i/>
        </w:rPr>
        <w:t>Pang Hung Fai v HKSAR</w:t>
      </w:r>
      <w:r w:rsidRPr="00C92265">
        <w:t xml:space="preserve">, </w:t>
      </w:r>
      <w:r>
        <w:t>paragraph 85.</w:t>
      </w:r>
    </w:p>
  </w:footnote>
  <w:footnote w:id="114">
    <w:p w:rsidR="00C35916" w:rsidRPr="00C37D22"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proofErr w:type="gramStart"/>
      <w:r>
        <w:t>Reasons for Verdict, paragraphs 635-6.</w:t>
      </w:r>
      <w:proofErr w:type="gramEnd"/>
    </w:p>
  </w:footnote>
  <w:footnote w:id="115">
    <w:p w:rsidR="00C35916" w:rsidRPr="00D91729"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proofErr w:type="gramStart"/>
      <w:r>
        <w:t>Reasons for Verdict, paragraphs 642; 647; 657 and 669.</w:t>
      </w:r>
      <w:proofErr w:type="gramEnd"/>
    </w:p>
  </w:footnote>
  <w:footnote w:id="116">
    <w:p w:rsidR="00C35916" w:rsidRPr="00B1118F" w:rsidRDefault="00C35916" w:rsidP="000D4EAC">
      <w:pPr>
        <w:pStyle w:val="raph"/>
        <w:tabs>
          <w:tab w:val="left" w:pos="360"/>
        </w:tabs>
        <w:spacing w:line="240" w:lineRule="auto"/>
        <w:ind w:left="360" w:hanging="360"/>
        <w:rPr>
          <w:lang w:val="en-GB"/>
        </w:rPr>
      </w:pPr>
      <w:r w:rsidRPr="00D560D8">
        <w:rPr>
          <w:rStyle w:val="FootnoteReference"/>
          <w:sz w:val="20"/>
          <w:szCs w:val="20"/>
        </w:rPr>
        <w:footnoteRef/>
      </w:r>
      <w:r>
        <w:t xml:space="preserve"> </w:t>
      </w:r>
      <w:r>
        <w:tab/>
      </w:r>
      <w:r>
        <w:rPr>
          <w:sz w:val="20"/>
          <w:szCs w:val="20"/>
        </w:rPr>
        <w:t>Reasons for V</w:t>
      </w:r>
      <w:r w:rsidRPr="00A85479">
        <w:rPr>
          <w:sz w:val="20"/>
          <w:szCs w:val="20"/>
        </w:rPr>
        <w:t>erdict, paragraph 565</w:t>
      </w:r>
      <w:r>
        <w:rPr>
          <w:sz w:val="20"/>
          <w:szCs w:val="20"/>
        </w:rPr>
        <w:t>.</w:t>
      </w:r>
    </w:p>
  </w:footnote>
  <w:footnote w:id="117">
    <w:p w:rsidR="00C35916" w:rsidRPr="00E73EA2"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Reasons for Verdict, paragraph 567.</w:t>
      </w:r>
    </w:p>
  </w:footnote>
  <w:footnote w:id="118">
    <w:p w:rsidR="00C35916" w:rsidRPr="00C95C29"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Reasons for Verdict, paragraph 607.</w:t>
      </w:r>
    </w:p>
  </w:footnote>
  <w:footnote w:id="119">
    <w:p w:rsidR="00C35916" w:rsidRPr="00B1118F"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proofErr w:type="gramStart"/>
      <w:r>
        <w:t>Reasons for Verdict, paragraphs 576 and 582.</w:t>
      </w:r>
      <w:proofErr w:type="gramEnd"/>
    </w:p>
  </w:footnote>
  <w:footnote w:id="120">
    <w:p w:rsidR="00C35916" w:rsidRPr="00B1118F"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t>Reasons for Verdict, paragraph 578.</w:t>
      </w:r>
    </w:p>
  </w:footnote>
  <w:footnote w:id="121">
    <w:p w:rsidR="00C35916" w:rsidRPr="00D0669D"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Reasons for Verdict, paragraph 662.</w:t>
      </w:r>
    </w:p>
  </w:footnote>
  <w:footnote w:id="122">
    <w:p w:rsidR="00C35916" w:rsidRPr="00477665"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t>Reasons for Verdict, paragraph 600.</w:t>
      </w:r>
    </w:p>
  </w:footnote>
  <w:footnote w:id="123">
    <w:p w:rsidR="00C35916" w:rsidRPr="003D0418"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Reasons for Verdict, paragraph 456.</w:t>
      </w:r>
    </w:p>
  </w:footnote>
  <w:footnote w:id="124">
    <w:p w:rsidR="00C35916" w:rsidRPr="004120AE"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Reasons for Verdict, paragraph 592.</w:t>
      </w:r>
    </w:p>
  </w:footnote>
  <w:footnote w:id="125">
    <w:p w:rsidR="00C35916" w:rsidRPr="004120AE"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Reasons for Verdict, paragraph 593.</w:t>
      </w:r>
    </w:p>
  </w:footnote>
  <w:footnote w:id="126">
    <w:p w:rsidR="00C35916" w:rsidRPr="00300A11"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t>Reasons for Verdict, paragraph 598.</w:t>
      </w:r>
    </w:p>
  </w:footnote>
  <w:footnote w:id="127">
    <w:p w:rsidR="00C35916" w:rsidRPr="00D100C7"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Reasons for Verdict, paragraph 593</w:t>
      </w:r>
      <w:r w:rsidR="001D0A1F">
        <w:t>.</w:t>
      </w:r>
    </w:p>
  </w:footnote>
  <w:footnote w:id="128">
    <w:p w:rsidR="00C35916" w:rsidRPr="00300A11"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proofErr w:type="gramStart"/>
      <w:r>
        <w:t>Reasons for Verdict, paragraphs 590-1.</w:t>
      </w:r>
      <w:proofErr w:type="gramEnd"/>
    </w:p>
  </w:footnote>
  <w:footnote w:id="129">
    <w:p w:rsidR="00C35916" w:rsidRPr="0079124A"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r w:rsidRPr="00701E7F">
        <w:rPr>
          <w:i/>
        </w:rPr>
        <w:t>Pang Hung Fai v HKSAR</w:t>
      </w:r>
      <w:r w:rsidRPr="00C92265">
        <w:t xml:space="preserve">, </w:t>
      </w:r>
      <w:r>
        <w:t>paragraph 85.</w:t>
      </w:r>
    </w:p>
  </w:footnote>
  <w:footnote w:id="130">
    <w:p w:rsidR="00C35916" w:rsidRPr="00BD0323"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proofErr w:type="gramStart"/>
      <w:r>
        <w:rPr>
          <w:lang w:val="en-US"/>
        </w:rPr>
        <w:t>Reasons for Verdict, paragraphs 364 and 379.</w:t>
      </w:r>
      <w:proofErr w:type="gramEnd"/>
    </w:p>
  </w:footnote>
  <w:footnote w:id="131">
    <w:p w:rsidR="00C35916" w:rsidRPr="00227649"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442.</w:t>
      </w:r>
    </w:p>
  </w:footnote>
  <w:footnote w:id="132">
    <w:p w:rsidR="00C35916" w:rsidRPr="007C3A83"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t xml:space="preserve">Reasons for Verdict, paragraph </w:t>
      </w:r>
      <w:r>
        <w:rPr>
          <w:lang w:val="en-US"/>
        </w:rPr>
        <w:t>449.</w:t>
      </w:r>
    </w:p>
  </w:footnote>
  <w:footnote w:id="133">
    <w:p w:rsidR="00C35916" w:rsidRPr="00227649"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t>Reasons for Verdict, paragraph 444.</w:t>
      </w:r>
    </w:p>
  </w:footnote>
  <w:footnote w:id="134">
    <w:p w:rsidR="00C35916" w:rsidRPr="005A3AA0"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r>
        <w:rPr>
          <w:lang w:val="en-US"/>
        </w:rPr>
        <w:t>Reasons for Verdict, paragraph 451.</w:t>
      </w:r>
    </w:p>
  </w:footnote>
  <w:footnote w:id="135">
    <w:p w:rsidR="00C35916" w:rsidRPr="00FC7945"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446.</w:t>
      </w:r>
    </w:p>
  </w:footnote>
  <w:footnote w:id="136">
    <w:p w:rsidR="00C35916" w:rsidRPr="00BD0323"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380.</w:t>
      </w:r>
    </w:p>
  </w:footnote>
  <w:footnote w:id="137">
    <w:p w:rsidR="00C35916" w:rsidRPr="005A3AA0"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373.</w:t>
      </w:r>
    </w:p>
  </w:footnote>
  <w:footnote w:id="138">
    <w:p w:rsidR="00C35916" w:rsidRPr="00C328B9"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457.</w:t>
      </w:r>
    </w:p>
  </w:footnote>
  <w:footnote w:id="139">
    <w:p w:rsidR="00C35916" w:rsidRPr="00C328B9"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452.</w:t>
      </w:r>
    </w:p>
  </w:footnote>
  <w:footnote w:id="140">
    <w:p w:rsidR="00C35916" w:rsidRPr="008F59C8"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470.</w:t>
      </w:r>
    </w:p>
  </w:footnote>
  <w:footnote w:id="141">
    <w:p w:rsidR="00C35916" w:rsidRPr="00DB28A3"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461.</w:t>
      </w:r>
    </w:p>
  </w:footnote>
  <w:footnote w:id="142">
    <w:p w:rsidR="00C35916" w:rsidRPr="00AD4DA5"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proofErr w:type="gramStart"/>
      <w:r>
        <w:rPr>
          <w:lang w:val="en-US"/>
        </w:rPr>
        <w:t>Reasons for Verdict, paragraphs 623-4.</w:t>
      </w:r>
      <w:proofErr w:type="gramEnd"/>
    </w:p>
  </w:footnote>
  <w:footnote w:id="143">
    <w:p w:rsidR="00C35916" w:rsidRPr="00F1324A"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588</w:t>
      </w:r>
      <w:r w:rsidR="001D0A1F">
        <w:rPr>
          <w:lang w:val="en-US"/>
        </w:rPr>
        <w:t>.</w:t>
      </w:r>
    </w:p>
  </w:footnote>
  <w:footnote w:id="144">
    <w:p w:rsidR="00C35916" w:rsidRPr="005A7AF6"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587.</w:t>
      </w:r>
    </w:p>
  </w:footnote>
  <w:footnote w:id="145">
    <w:p w:rsidR="00C35916" w:rsidRPr="00F1324A"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593</w:t>
      </w:r>
      <w:r w:rsidR="001D0A1F">
        <w:rPr>
          <w:lang w:val="en-US"/>
        </w:rPr>
        <w:t>.</w:t>
      </w:r>
    </w:p>
  </w:footnote>
  <w:footnote w:id="146">
    <w:p w:rsidR="00C35916" w:rsidRPr="008F5EFC"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600.</w:t>
      </w:r>
    </w:p>
  </w:footnote>
  <w:footnote w:id="147">
    <w:p w:rsidR="00C35916" w:rsidRPr="008F5EFC"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609.</w:t>
      </w:r>
    </w:p>
  </w:footnote>
  <w:footnote w:id="148">
    <w:p w:rsidR="00C35916" w:rsidRPr="00676726"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601.</w:t>
      </w:r>
    </w:p>
  </w:footnote>
  <w:footnote w:id="149">
    <w:p w:rsidR="00C35916" w:rsidRPr="00026BBA"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585.</w:t>
      </w:r>
    </w:p>
  </w:footnote>
  <w:footnote w:id="150">
    <w:p w:rsidR="00C35916" w:rsidRPr="00717385"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r>
        <w:rPr>
          <w:lang w:val="en-US"/>
        </w:rPr>
        <w:t>Reasons for Verdict, paragraph 474.</w:t>
      </w:r>
    </w:p>
  </w:footnote>
  <w:footnote w:id="151">
    <w:p w:rsidR="00C35916" w:rsidRPr="00527A32"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r>
        <w:rPr>
          <w:lang w:val="en-US"/>
        </w:rPr>
        <w:t>Reasons for Verdict, paragraph 589.</w:t>
      </w:r>
    </w:p>
  </w:footnote>
  <w:footnote w:id="152">
    <w:p w:rsidR="00C35916" w:rsidRPr="003655BD"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610.</w:t>
      </w:r>
    </w:p>
  </w:footnote>
  <w:footnote w:id="153">
    <w:p w:rsidR="00C35916" w:rsidRPr="008800CC" w:rsidRDefault="00C35916" w:rsidP="000D4EAC">
      <w:pPr>
        <w:pStyle w:val="FootnoteText"/>
        <w:tabs>
          <w:tab w:val="left" w:pos="360"/>
          <w:tab w:val="left" w:pos="7380"/>
        </w:tabs>
        <w:spacing w:after="0" w:line="240" w:lineRule="auto"/>
        <w:ind w:left="360" w:right="926" w:hanging="360"/>
        <w:contextualSpacing/>
        <w:jc w:val="both"/>
        <w:rPr>
          <w:lang w:val="en-US"/>
        </w:rPr>
      </w:pPr>
      <w:r>
        <w:rPr>
          <w:rStyle w:val="FootnoteReference"/>
        </w:rPr>
        <w:footnoteRef/>
      </w:r>
      <w:r>
        <w:t xml:space="preserve"> </w:t>
      </w:r>
      <w:r>
        <w:tab/>
      </w:r>
      <w:r>
        <w:rPr>
          <w:lang w:val="en-US"/>
        </w:rPr>
        <w:t>Reasons for Verdict: Charge 1- paragraph 634; Charge 2- paragraphs 640-642; Charge 3 -</w:t>
      </w:r>
      <w:r w:rsidRPr="009A4AB5">
        <w:rPr>
          <w:lang w:val="en-US"/>
        </w:rPr>
        <w:t xml:space="preserve"> </w:t>
      </w:r>
      <w:r>
        <w:rPr>
          <w:lang w:val="en-US"/>
        </w:rPr>
        <w:t>paragraphs 663 and 668.</w:t>
      </w:r>
    </w:p>
  </w:footnote>
  <w:footnote w:id="154">
    <w:p w:rsidR="00C35916" w:rsidRPr="00155CD4"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640.</w:t>
      </w:r>
    </w:p>
  </w:footnote>
  <w:footnote w:id="155">
    <w:p w:rsidR="00C35916" w:rsidRPr="00155CD4"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641.</w:t>
      </w:r>
    </w:p>
  </w:footnote>
  <w:footnote w:id="156">
    <w:p w:rsidR="00C35916" w:rsidRPr="00B91266"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 xml:space="preserve">Reasons for </w:t>
      </w:r>
      <w:r>
        <w:t>Verdict, paragraph 642.</w:t>
      </w:r>
    </w:p>
  </w:footnote>
  <w:footnote w:id="157">
    <w:p w:rsidR="00C35916" w:rsidRPr="00F859F8"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457.</w:t>
      </w:r>
    </w:p>
  </w:footnote>
  <w:footnote w:id="158">
    <w:p w:rsidR="00C35916" w:rsidRPr="009D44DB"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10.</w:t>
      </w:r>
    </w:p>
  </w:footnote>
  <w:footnote w:id="159">
    <w:p w:rsidR="00C35916" w:rsidRPr="009D44DB"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602.</w:t>
      </w:r>
    </w:p>
  </w:footnote>
  <w:footnote w:id="160">
    <w:p w:rsidR="00C35916" w:rsidRPr="009D44DB"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602.</w:t>
      </w:r>
    </w:p>
  </w:footnote>
  <w:footnote w:id="161">
    <w:p w:rsidR="00C35916" w:rsidRPr="001E416D"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Appeal Bundle, page 184.</w:t>
      </w:r>
    </w:p>
  </w:footnote>
  <w:footnote w:id="162">
    <w:p w:rsidR="00C35916" w:rsidRPr="005570F7" w:rsidRDefault="00C35916" w:rsidP="000D4EAC">
      <w:pPr>
        <w:pStyle w:val="ListParagraph"/>
        <w:tabs>
          <w:tab w:val="clear" w:pos="1440"/>
          <w:tab w:val="clear" w:pos="4320"/>
          <w:tab w:val="clear" w:pos="9072"/>
          <w:tab w:val="left" w:pos="360"/>
        </w:tabs>
        <w:snapToGrid/>
        <w:ind w:left="360" w:hanging="360"/>
        <w:jc w:val="both"/>
      </w:pPr>
      <w:r w:rsidRPr="005570F7">
        <w:rPr>
          <w:rStyle w:val="FootnoteReference"/>
          <w:sz w:val="20"/>
        </w:rPr>
        <w:footnoteRef/>
      </w:r>
      <w:r>
        <w:t xml:space="preserve"> </w:t>
      </w:r>
      <w:r>
        <w:tab/>
      </w:r>
      <w:r w:rsidRPr="005570F7">
        <w:rPr>
          <w:sz w:val="20"/>
          <w:lang w:val="en-US"/>
        </w:rPr>
        <w:t>Reasons for Verdict, paragraph 606.</w:t>
      </w:r>
    </w:p>
  </w:footnote>
  <w:footnote w:id="163">
    <w:p w:rsidR="00C35916" w:rsidRPr="005570F7"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607.</w:t>
      </w:r>
    </w:p>
  </w:footnote>
  <w:footnote w:id="164">
    <w:p w:rsidR="00C35916" w:rsidRPr="00B66A9B"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529.</w:t>
      </w:r>
    </w:p>
  </w:footnote>
  <w:footnote w:id="165">
    <w:p w:rsidR="00C35916" w:rsidRPr="00924EAF"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635.</w:t>
      </w:r>
    </w:p>
  </w:footnote>
  <w:footnote w:id="166">
    <w:p w:rsidR="00C35916" w:rsidRPr="00E074AB"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647.</w:t>
      </w:r>
    </w:p>
  </w:footnote>
  <w:footnote w:id="167">
    <w:p w:rsidR="00C35916" w:rsidRPr="00FE62C5"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666.</w:t>
      </w:r>
    </w:p>
  </w:footnote>
  <w:footnote w:id="168">
    <w:p w:rsidR="00C35916" w:rsidRPr="00BE2886"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Appeal Bundle, pages 375 and 377.</w:t>
      </w:r>
    </w:p>
  </w:footnote>
  <w:footnote w:id="169">
    <w:p w:rsidR="00C35916" w:rsidRPr="00232C63"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t xml:space="preserve">Reasons for Verdict, paragraph 313. </w:t>
      </w:r>
    </w:p>
  </w:footnote>
  <w:footnote w:id="170">
    <w:p w:rsidR="00C35916" w:rsidRPr="00BF7A8A"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t>Reasons for Verdict, paragraph 317.</w:t>
      </w:r>
    </w:p>
  </w:footnote>
  <w:footnote w:id="171">
    <w:p w:rsidR="00C35916" w:rsidRPr="00BF7A8A"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t>Reasons for Verdict, paragraph 315.</w:t>
      </w:r>
    </w:p>
  </w:footnote>
  <w:footnote w:id="172">
    <w:p w:rsidR="00C35916" w:rsidRPr="00EC512E"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ab/>
        <w:t>Reasons for Verdict, paragraph 318.</w:t>
      </w:r>
    </w:p>
  </w:footnote>
  <w:footnote w:id="173">
    <w:p w:rsidR="00C35916" w:rsidRPr="0063756F"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t>Reasons for Verdict, paragraph 394.</w:t>
      </w:r>
    </w:p>
  </w:footnote>
  <w:footnote w:id="174">
    <w:p w:rsidR="00C35916" w:rsidRPr="0063756F"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t>Reasons for Verdict, paragraph 396.</w:t>
      </w:r>
    </w:p>
  </w:footnote>
  <w:footnote w:id="175">
    <w:p w:rsidR="00C35916" w:rsidRPr="005C0B36"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proofErr w:type="gramStart"/>
      <w:r>
        <w:t>Reasons for Verdict, paragraphs 571-2.</w:t>
      </w:r>
      <w:proofErr w:type="gramEnd"/>
    </w:p>
  </w:footnote>
  <w:footnote w:id="176">
    <w:p w:rsidR="00C35916" w:rsidRPr="00DD70F9"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t>Reasons for Verdict, paragraph 662.</w:t>
      </w:r>
    </w:p>
  </w:footnote>
  <w:footnote w:id="177">
    <w:p w:rsidR="00C35916" w:rsidRPr="005C0B36"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t>Reasons for Verdict, paragraph 573.</w:t>
      </w:r>
    </w:p>
  </w:footnote>
  <w:footnote w:id="178">
    <w:p w:rsidR="00C35916" w:rsidRPr="00125F18"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t>Reasons for Verdict, paragraph 574.</w:t>
      </w:r>
    </w:p>
  </w:footnote>
  <w:footnote w:id="179">
    <w:p w:rsidR="00C35916" w:rsidRPr="004B09E5"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t>Reasons for Verdict, paragraph 575.</w:t>
      </w:r>
    </w:p>
  </w:footnote>
  <w:footnote w:id="180">
    <w:p w:rsidR="00C35916" w:rsidRPr="0000596D"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proofErr w:type="gramStart"/>
      <w:r>
        <w:t>Reasons for Verdict, paragraphs 632 and 661.</w:t>
      </w:r>
      <w:proofErr w:type="gramEnd"/>
    </w:p>
  </w:footnote>
  <w:footnote w:id="181">
    <w:p w:rsidR="00C35916" w:rsidRPr="0000596D"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t>Reasons for Verdict, paragraph 635.</w:t>
      </w:r>
    </w:p>
  </w:footnote>
  <w:footnote w:id="182">
    <w:p w:rsidR="00C35916" w:rsidRPr="00A218A7"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t>Reasons for Verdict, paragraph 636.</w:t>
      </w:r>
    </w:p>
  </w:footnote>
  <w:footnote w:id="183">
    <w:p w:rsidR="00C35916" w:rsidRPr="00AB7666"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szCs w:val="28"/>
        </w:rPr>
        <w:t>Reasons for Verdict, paragraph 12.</w:t>
      </w:r>
    </w:p>
  </w:footnote>
  <w:footnote w:id="184">
    <w:p w:rsidR="00C35916" w:rsidRPr="000044DC" w:rsidRDefault="00C35916" w:rsidP="000D4EAC">
      <w:pPr>
        <w:pStyle w:val="FootnoteText"/>
        <w:tabs>
          <w:tab w:val="left" w:pos="360"/>
        </w:tabs>
        <w:spacing w:after="0" w:line="240" w:lineRule="auto"/>
        <w:ind w:left="360" w:hanging="360"/>
        <w:contextualSpacing/>
        <w:jc w:val="both"/>
        <w:rPr>
          <w:lang w:val="en-US"/>
        </w:rPr>
      </w:pPr>
      <w:r w:rsidRPr="000044DC">
        <w:rPr>
          <w:rStyle w:val="FootnoteReference"/>
        </w:rPr>
        <w:footnoteRef/>
      </w:r>
      <w:r w:rsidRPr="000044DC">
        <w:t xml:space="preserve"> </w:t>
      </w:r>
      <w:r>
        <w:tab/>
      </w:r>
      <w:proofErr w:type="gramStart"/>
      <w:r w:rsidRPr="000044DC">
        <w:t>Reasons for Verdict, paragraph</w:t>
      </w:r>
      <w:r>
        <w:t>s</w:t>
      </w:r>
      <w:r w:rsidRPr="000044DC">
        <w:t xml:space="preserve"> 345 and 418.</w:t>
      </w:r>
      <w:proofErr w:type="gramEnd"/>
    </w:p>
  </w:footnote>
  <w:footnote w:id="185">
    <w:p w:rsidR="00C35916" w:rsidRPr="00E018FC"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sidRPr="000044DC">
        <w:t>Reasons for Verdict, paragraph</w:t>
      </w:r>
      <w:r>
        <w:t xml:space="preserve"> 551.</w:t>
      </w:r>
    </w:p>
  </w:footnote>
  <w:footnote w:id="186">
    <w:p w:rsidR="00C35916" w:rsidRPr="00EE10A3"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sidRPr="000044DC">
        <w:t>Reasons for Verdict, paragraph</w:t>
      </w:r>
      <w:r>
        <w:t xml:space="preserve"> 576.</w:t>
      </w:r>
    </w:p>
  </w:footnote>
  <w:footnote w:id="187">
    <w:p w:rsidR="00C35916" w:rsidRPr="000044DC" w:rsidRDefault="00C35916" w:rsidP="000D4EAC">
      <w:pPr>
        <w:pStyle w:val="ListParagraph"/>
        <w:tabs>
          <w:tab w:val="clear" w:pos="1440"/>
          <w:tab w:val="clear" w:pos="4320"/>
          <w:tab w:val="clear" w:pos="9072"/>
          <w:tab w:val="left" w:pos="360"/>
        </w:tabs>
        <w:snapToGrid/>
        <w:ind w:left="360" w:hanging="360"/>
        <w:jc w:val="both"/>
      </w:pPr>
      <w:r w:rsidRPr="000044DC">
        <w:rPr>
          <w:rStyle w:val="FootnoteReference"/>
          <w:sz w:val="20"/>
        </w:rPr>
        <w:footnoteRef/>
      </w:r>
      <w:r>
        <w:t xml:space="preserve"> </w:t>
      </w:r>
      <w:r>
        <w:tab/>
      </w:r>
      <w:proofErr w:type="gramStart"/>
      <w:r w:rsidRPr="000044DC">
        <w:rPr>
          <w:sz w:val="20"/>
        </w:rPr>
        <w:t>Reasons for Verdict, paragraph</w:t>
      </w:r>
      <w:r>
        <w:rPr>
          <w:sz w:val="20"/>
        </w:rPr>
        <w:t>s 577-8.</w:t>
      </w:r>
      <w:proofErr w:type="gramEnd"/>
    </w:p>
  </w:footnote>
  <w:footnote w:id="188">
    <w:p w:rsidR="00C35916" w:rsidRPr="00884B31"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414.</w:t>
      </w:r>
    </w:p>
  </w:footnote>
  <w:footnote w:id="189">
    <w:p w:rsidR="00C35916" w:rsidRPr="00734194"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579.</w:t>
      </w:r>
    </w:p>
  </w:footnote>
  <w:footnote w:id="190">
    <w:p w:rsidR="00C35916" w:rsidRPr="00734194"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proofErr w:type="gramStart"/>
      <w:r>
        <w:rPr>
          <w:lang w:val="en-US"/>
        </w:rPr>
        <w:t>Reasons for Verdict, paragraphs 581-2.</w:t>
      </w:r>
      <w:proofErr w:type="gramEnd"/>
    </w:p>
  </w:footnote>
  <w:footnote w:id="191">
    <w:p w:rsidR="00C35916" w:rsidRPr="00940AC5"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635.</w:t>
      </w:r>
    </w:p>
  </w:footnote>
  <w:footnote w:id="192">
    <w:p w:rsidR="00C35916" w:rsidRPr="00940AC5"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636.</w:t>
      </w:r>
    </w:p>
  </w:footnote>
  <w:footnote w:id="193">
    <w:p w:rsidR="00C35916" w:rsidRPr="003F5EF1"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t>Appeal Bundle, page 17, paragraph 12.</w:t>
      </w:r>
    </w:p>
  </w:footnote>
  <w:footnote w:id="194">
    <w:p w:rsidR="00C35916" w:rsidRPr="00BE2BB2"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649.</w:t>
      </w:r>
    </w:p>
  </w:footnote>
  <w:footnote w:id="195">
    <w:p w:rsidR="00C35916" w:rsidRPr="00491814"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649.</w:t>
      </w:r>
    </w:p>
  </w:footnote>
  <w:footnote w:id="196">
    <w:p w:rsidR="00C35916" w:rsidRPr="00FA21E6"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22.</w:t>
      </w:r>
    </w:p>
  </w:footnote>
  <w:footnote w:id="197">
    <w:p w:rsidR="00C35916" w:rsidRPr="004A52F2"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r>
        <w:rPr>
          <w:lang w:val="en-US"/>
        </w:rPr>
        <w:t>Reasons for Verdict, paragraph 549.</w:t>
      </w:r>
    </w:p>
  </w:footnote>
  <w:footnote w:id="198">
    <w:p w:rsidR="00C35916" w:rsidRPr="004A52F2"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t>Appeal Bundle (Mr Sutton and Sgt Kwan), page 683.</w:t>
      </w:r>
    </w:p>
  </w:footnote>
  <w:footnote w:id="199">
    <w:p w:rsidR="00C35916" w:rsidRPr="00C129C7" w:rsidRDefault="00C35916" w:rsidP="000D4EAC">
      <w:pPr>
        <w:pStyle w:val="FootnoteText"/>
        <w:tabs>
          <w:tab w:val="left" w:pos="360"/>
        </w:tabs>
        <w:spacing w:after="0" w:line="240" w:lineRule="auto"/>
        <w:ind w:left="360" w:hanging="360"/>
        <w:contextualSpacing/>
        <w:jc w:val="both"/>
      </w:pPr>
      <w:r>
        <w:rPr>
          <w:rStyle w:val="FootnoteReference"/>
        </w:rPr>
        <w:footnoteRef/>
      </w:r>
      <w:r>
        <w:t xml:space="preserve"> </w:t>
      </w:r>
      <w:r>
        <w:tab/>
      </w:r>
      <w:r>
        <w:rPr>
          <w:lang w:val="en-US"/>
        </w:rPr>
        <w:t>Reasons for Verdict, paragraph 651.</w:t>
      </w:r>
    </w:p>
  </w:footnote>
  <w:footnote w:id="200">
    <w:p w:rsidR="00C35916" w:rsidRPr="00C129C7"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proofErr w:type="gramStart"/>
      <w:r>
        <w:rPr>
          <w:lang w:val="en-US"/>
        </w:rPr>
        <w:t>Reasons for Verdict, paragraphs 649 and 465-6.</w:t>
      </w:r>
      <w:proofErr w:type="gramEnd"/>
    </w:p>
  </w:footnote>
  <w:footnote w:id="201">
    <w:p w:rsidR="00C35916" w:rsidRPr="00BE2BB2"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650.</w:t>
      </w:r>
    </w:p>
  </w:footnote>
  <w:footnote w:id="202">
    <w:p w:rsidR="00C35916" w:rsidRPr="00C129C7"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650.</w:t>
      </w:r>
    </w:p>
  </w:footnote>
  <w:footnote w:id="203">
    <w:p w:rsidR="00C35916" w:rsidRPr="00C129C7"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121.</w:t>
      </w:r>
    </w:p>
  </w:footnote>
  <w:footnote w:id="204">
    <w:p w:rsidR="00C35916" w:rsidRPr="006C032A"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664.</w:t>
      </w:r>
    </w:p>
  </w:footnote>
  <w:footnote w:id="205">
    <w:p w:rsidR="00C35916" w:rsidRPr="00170091"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665.</w:t>
      </w:r>
    </w:p>
  </w:footnote>
  <w:footnote w:id="206">
    <w:p w:rsidR="00C35916" w:rsidRPr="002D350C"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proofErr w:type="gramStart"/>
      <w:r>
        <w:rPr>
          <w:lang w:val="en-US"/>
        </w:rPr>
        <w:t>Reasons for Verdict, paragraphs 657 and 669.</w:t>
      </w:r>
      <w:proofErr w:type="gramEnd"/>
    </w:p>
  </w:footnote>
  <w:footnote w:id="207">
    <w:p w:rsidR="00C35916" w:rsidRPr="00D541F4"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656.</w:t>
      </w:r>
    </w:p>
  </w:footnote>
  <w:footnote w:id="208">
    <w:p w:rsidR="00C35916" w:rsidRPr="00880AF5"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660.</w:t>
      </w:r>
    </w:p>
  </w:footnote>
  <w:footnote w:id="209">
    <w:p w:rsidR="00C35916" w:rsidRPr="004D07F2"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677.</w:t>
      </w:r>
    </w:p>
  </w:footnote>
  <w:footnote w:id="210">
    <w:p w:rsidR="00C35916" w:rsidRPr="00040F36"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tab/>
      </w:r>
      <w:r>
        <w:rPr>
          <w:lang w:val="en-US"/>
        </w:rPr>
        <w:t>Reasons for Verdict, paragraph 129.</w:t>
      </w:r>
    </w:p>
  </w:footnote>
  <w:footnote w:id="211">
    <w:p w:rsidR="00C35916" w:rsidRPr="00040F36" w:rsidRDefault="00C35916" w:rsidP="000D4EAC">
      <w:pPr>
        <w:pStyle w:val="FootnoteText"/>
        <w:tabs>
          <w:tab w:val="left" w:pos="360"/>
        </w:tabs>
        <w:spacing w:after="0" w:line="240" w:lineRule="auto"/>
        <w:ind w:left="360" w:hanging="360"/>
        <w:contextualSpacing/>
        <w:jc w:val="both"/>
        <w:rPr>
          <w:lang w:val="en-US"/>
        </w:rPr>
      </w:pPr>
      <w:r>
        <w:rPr>
          <w:rStyle w:val="FootnoteReference"/>
        </w:rPr>
        <w:footnoteRef/>
      </w:r>
      <w:r>
        <w:t xml:space="preserve"> </w:t>
      </w:r>
      <w:r>
        <w:rPr>
          <w:lang w:val="en-US"/>
        </w:rPr>
        <w:tab/>
      </w:r>
      <w:proofErr w:type="gramStart"/>
      <w:r>
        <w:rPr>
          <w:lang w:val="en-US"/>
        </w:rPr>
        <w:t>Reasons for Verdict, paragraphs 242-245.</w:t>
      </w:r>
      <w:proofErr w:type="gramEnd"/>
    </w:p>
    <w:p w:rsidR="00C35916" w:rsidRPr="00AC2E71" w:rsidRDefault="00C35916" w:rsidP="000D4EAC">
      <w:pPr>
        <w:pStyle w:val="FootnoteText"/>
        <w:spacing w:after="0" w:line="240" w:lineRule="auto"/>
        <w:ind w:left="360" w:hanging="360"/>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916" w:rsidRDefault="00052537" w:rsidP="00F74339">
    <w:pPr>
      <w:pStyle w:val="Header"/>
      <w:tabs>
        <w:tab w:val="clear" w:pos="4153"/>
        <w:tab w:val="clear" w:pos="4320"/>
        <w:tab w:val="clear" w:pos="8306"/>
        <w:tab w:val="clear" w:pos="9072"/>
      </w:tabs>
      <w:rPr>
        <w:rStyle w:val="PageNumber"/>
        <w:sz w:val="28"/>
      </w:rPr>
    </w:pPr>
    <w:r w:rsidRPr="00052537">
      <w:rPr>
        <w:noProof/>
        <w:sz w:val="24"/>
        <w:szCs w:val="24"/>
        <w:lang w:val="en-US" w:eastAsia="en-US"/>
      </w:rPr>
      <w:pict>
        <v:shapetype id="_x0000_t202" coordsize="21600,21600" o:spt="202" path="m,l,21600r21600,l21600,xe">
          <v:stroke joinstyle="miter"/>
          <v:path gradientshapeok="t" o:connecttype="rect"/>
        </v:shapetype>
        <v:shape id="_x0000_s2061" type="#_x0000_t202" style="position:absolute;left:0;text-align:left;margin-left:-84pt;margin-top:-41.4pt;width:42pt;height:817pt;z-index:251659264" stroked="f">
          <v:textbox style="mso-next-textbox:#_x0000_s2061">
            <w:txbxContent>
              <w:p w:rsidR="00C35916" w:rsidRDefault="00C35916">
                <w:pPr>
                  <w:rPr>
                    <w:rFonts w:eastAsia="PMingLiU"/>
                    <w:b/>
                    <w:sz w:val="18"/>
                    <w:lang w:eastAsia="zh-TW"/>
                  </w:rPr>
                </w:pPr>
                <w:r>
                  <w:rPr>
                    <w:rFonts w:eastAsia="PMingLiU" w:hint="eastAsia"/>
                    <w:b/>
                    <w:sz w:val="18"/>
                    <w:lang w:eastAsia="zh-TW"/>
                  </w:rPr>
                  <w:t xml:space="preserve">  </w:t>
                </w:r>
              </w:p>
              <w:p w:rsidR="00C35916" w:rsidRDefault="00C35916">
                <w:pPr>
                  <w:rPr>
                    <w:rFonts w:eastAsia="PMingLiU"/>
                    <w:b/>
                    <w:sz w:val="18"/>
                    <w:lang w:eastAsia="zh-TW"/>
                  </w:rPr>
                </w:pPr>
                <w:r>
                  <w:rPr>
                    <w:rFonts w:eastAsia="PMingLiU" w:hint="eastAsia"/>
                    <w:b/>
                    <w:sz w:val="18"/>
                    <w:lang w:eastAsia="zh-TW"/>
                  </w:rPr>
                  <w:t xml:space="preserve">  </w:t>
                </w:r>
                <w:r>
                  <w:rPr>
                    <w:rFonts w:eastAsia="黑体" w:hint="eastAsia"/>
                    <w:b/>
                    <w:sz w:val="18"/>
                  </w:rPr>
                  <w:t>由此</w:t>
                </w:r>
              </w:p>
              <w:p w:rsidR="00C35916" w:rsidRDefault="00C35916">
                <w:pPr>
                  <w:spacing w:line="320" w:lineRule="exact"/>
                  <w:rPr>
                    <w:rFonts w:eastAsia="PMingLiU"/>
                    <w:b/>
                    <w:sz w:val="18"/>
                    <w:lang w:eastAsia="zh-TW"/>
                  </w:rPr>
                </w:pPr>
              </w:p>
              <w:p w:rsidR="00C35916" w:rsidRDefault="00C35916">
                <w:pPr>
                  <w:ind w:left="-140" w:firstLine="280"/>
                  <w:rPr>
                    <w:b/>
                    <w:sz w:val="20"/>
                  </w:rPr>
                </w:pPr>
                <w:r>
                  <w:rPr>
                    <w:rFonts w:eastAsia="PMingLiU" w:hint="eastAsia"/>
                    <w:b/>
                    <w:sz w:val="20"/>
                    <w:lang w:eastAsia="zh-TW"/>
                  </w:rPr>
                  <w:t xml:space="preserve"> </w:t>
                </w:r>
                <w:r>
                  <w:rPr>
                    <w:rFonts w:hint="eastAsia"/>
                    <w:b/>
                    <w:sz w:val="20"/>
                  </w:rPr>
                  <w:t>A</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rFonts w:eastAsia="PMingLiU"/>
                    <w:b/>
                    <w:sz w:val="16"/>
                    <w:lang w:eastAsia="zh-TW"/>
                  </w:rPr>
                </w:pPr>
                <w:r>
                  <w:rPr>
                    <w:rFonts w:eastAsia="PMingLiU" w:hint="eastAsia"/>
                    <w:b/>
                    <w:sz w:val="16"/>
                    <w:lang w:eastAsia="zh-TW"/>
                  </w:rPr>
                  <w:t xml:space="preserve"> </w:t>
                </w:r>
              </w:p>
              <w:p w:rsidR="00C35916" w:rsidRDefault="00C35916">
                <w:pPr>
                  <w:snapToGrid/>
                  <w:ind w:left="-142" w:firstLine="278"/>
                  <w:rPr>
                    <w:b/>
                    <w:sz w:val="20"/>
                  </w:rPr>
                </w:pPr>
                <w:r>
                  <w:rPr>
                    <w:rFonts w:eastAsia="PMingLiU" w:hint="eastAsia"/>
                    <w:b/>
                    <w:sz w:val="20"/>
                    <w:lang w:eastAsia="zh-TW"/>
                  </w:rPr>
                  <w:t xml:space="preserve"> </w:t>
                </w:r>
                <w:r>
                  <w:rPr>
                    <w:rFonts w:hint="eastAsia"/>
                    <w:b/>
                    <w:sz w:val="20"/>
                  </w:rPr>
                  <w:t>B</w:t>
                </w:r>
              </w:p>
              <w:p w:rsidR="00C35916" w:rsidRDefault="00C35916">
                <w:pPr>
                  <w:snapToGrid/>
                  <w:ind w:left="-142" w:firstLine="278"/>
                  <w:rPr>
                    <w:b/>
                    <w:sz w:val="10"/>
                  </w:rPr>
                </w:pPr>
              </w:p>
              <w:p w:rsidR="00C35916" w:rsidRDefault="00C35916">
                <w:pPr>
                  <w:snapToGrid/>
                  <w:ind w:left="-142" w:firstLine="278"/>
                  <w:rPr>
                    <w:b/>
                    <w:sz w:val="16"/>
                  </w:rPr>
                </w:pPr>
              </w:p>
              <w:p w:rsidR="00C35916" w:rsidRDefault="00C35916">
                <w:pPr>
                  <w:snapToGrid/>
                  <w:ind w:left="-142" w:firstLine="278"/>
                  <w:rPr>
                    <w:b/>
                    <w:sz w:val="16"/>
                  </w:rPr>
                </w:pPr>
              </w:p>
              <w:p w:rsidR="00C35916" w:rsidRDefault="00C35916">
                <w:pPr>
                  <w:snapToGrid/>
                  <w:ind w:left="-142" w:firstLine="278"/>
                  <w:rPr>
                    <w:b/>
                    <w:sz w:val="16"/>
                  </w:rPr>
                </w:pPr>
                <w:r>
                  <w:rPr>
                    <w:rFonts w:eastAsia="PMingLiU" w:hint="eastAsia"/>
                    <w:b/>
                    <w:sz w:val="20"/>
                    <w:lang w:eastAsia="zh-TW"/>
                  </w:rPr>
                  <w:t xml:space="preserve"> </w:t>
                </w:r>
                <w:r>
                  <w:rPr>
                    <w:rFonts w:hint="eastAsia"/>
                    <w:b/>
                    <w:sz w:val="20"/>
                  </w:rPr>
                  <w:t>C</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pStyle w:val="Heading2"/>
                  <w:ind w:left="-140" w:firstLine="280"/>
                  <w:rPr>
                    <w:sz w:val="16"/>
                  </w:rPr>
                </w:pPr>
                <w:r>
                  <w:rPr>
                    <w:rFonts w:eastAsia="PMingLiU" w:hint="eastAsia"/>
                    <w:lang w:eastAsia="zh-TW"/>
                  </w:rPr>
                  <w:t xml:space="preserve"> </w:t>
                </w:r>
                <w:r>
                  <w:rPr>
                    <w:rFonts w:hint="eastAsia"/>
                  </w:rPr>
                  <w:t>D</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E</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20"/>
                  </w:rPr>
                </w:pPr>
                <w:r>
                  <w:rPr>
                    <w:rFonts w:eastAsia="PMingLiU" w:hint="eastAsia"/>
                    <w:b/>
                    <w:sz w:val="20"/>
                    <w:lang w:eastAsia="zh-TW"/>
                  </w:rPr>
                  <w:t xml:space="preserve"> </w:t>
                </w:r>
                <w:r>
                  <w:rPr>
                    <w:rFonts w:hint="eastAsia"/>
                    <w:b/>
                    <w:sz w:val="20"/>
                  </w:rPr>
                  <w:t>F</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G</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H</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I</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J</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K</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L</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M</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N</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O</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P</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Q</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R</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S</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T</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ind w:left="-140" w:firstLine="280"/>
                  <w:rPr>
                    <w:b/>
                    <w:sz w:val="16"/>
                  </w:rPr>
                </w:pPr>
                <w:r>
                  <w:rPr>
                    <w:rFonts w:eastAsia="PMingLiU" w:hint="eastAsia"/>
                    <w:b/>
                    <w:sz w:val="20"/>
                    <w:lang w:eastAsia="zh-TW"/>
                  </w:rPr>
                  <w:t xml:space="preserve"> </w:t>
                </w:r>
                <w:r>
                  <w:rPr>
                    <w:rFonts w:hint="eastAsia"/>
                    <w:b/>
                    <w:sz w:val="20"/>
                  </w:rPr>
                  <w:t>U</w:t>
                </w:r>
              </w:p>
              <w:p w:rsidR="00C35916" w:rsidRDefault="00C35916">
                <w:pPr>
                  <w:ind w:left="-140" w:firstLine="280"/>
                  <w:rPr>
                    <w:b/>
                    <w:sz w:val="10"/>
                  </w:rPr>
                </w:pPr>
              </w:p>
              <w:p w:rsidR="00C35916" w:rsidRDefault="00C35916">
                <w:pPr>
                  <w:ind w:left="-140" w:firstLine="280"/>
                  <w:rPr>
                    <w:b/>
                    <w:sz w:val="16"/>
                  </w:rPr>
                </w:pPr>
              </w:p>
              <w:p w:rsidR="00C35916" w:rsidRDefault="00C35916">
                <w:pPr>
                  <w:ind w:left="-140" w:firstLine="280"/>
                  <w:rPr>
                    <w:b/>
                    <w:sz w:val="16"/>
                  </w:rPr>
                </w:pPr>
              </w:p>
              <w:p w:rsidR="00C35916" w:rsidRDefault="00C35916">
                <w:pPr>
                  <w:pStyle w:val="Heading3"/>
                  <w:ind w:left="-140" w:firstLine="280"/>
                  <w:jc w:val="left"/>
                </w:pPr>
                <w:r>
                  <w:rPr>
                    <w:rFonts w:eastAsia="PMingLiU" w:hint="eastAsia"/>
                    <w:lang w:eastAsia="zh-TW"/>
                  </w:rPr>
                  <w:t xml:space="preserve"> </w:t>
                </w:r>
                <w:r>
                  <w:rPr>
                    <w:rFonts w:hint="eastAsia"/>
                  </w:rPr>
                  <w:t>V</w:t>
                </w:r>
              </w:p>
            </w:txbxContent>
          </v:textbox>
        </v:shape>
      </w:pict>
    </w:r>
    <w:r w:rsidRPr="00052537">
      <w:rPr>
        <w:noProof/>
        <w:sz w:val="24"/>
        <w:szCs w:val="24"/>
        <w:lang w:val="en-US" w:eastAsia="en-US"/>
      </w:rPr>
      <w:pict>
        <v:shape id="_x0000_s2060" type="#_x0000_t202" style="position:absolute;left:0;text-align:left;margin-left:462pt;margin-top:-41.4pt;width:42pt;height:819.5pt;z-index:251658240" stroked="f">
          <v:textbox style="mso-next-textbox:#_x0000_s2060">
            <w:txbxContent>
              <w:p w:rsidR="00C35916" w:rsidRDefault="00C35916">
                <w:pPr>
                  <w:snapToGrid/>
                  <w:spacing w:line="80" w:lineRule="exact"/>
                  <w:rPr>
                    <w:rFonts w:eastAsia="PMingLiU"/>
                    <w:b/>
                    <w:sz w:val="18"/>
                    <w:lang w:eastAsia="zh-TW"/>
                  </w:rPr>
                </w:pPr>
              </w:p>
              <w:p w:rsidR="00C35916" w:rsidRDefault="00C35916">
                <w:pPr>
                  <w:snapToGrid/>
                  <w:spacing w:line="80" w:lineRule="exact"/>
                  <w:rPr>
                    <w:rFonts w:eastAsia="PMingLiU"/>
                    <w:b/>
                    <w:sz w:val="18"/>
                    <w:lang w:eastAsia="zh-TW"/>
                  </w:rPr>
                </w:pPr>
              </w:p>
              <w:p w:rsidR="00C35916" w:rsidRDefault="00C35916">
                <w:pPr>
                  <w:snapToGrid/>
                  <w:spacing w:line="80" w:lineRule="exact"/>
                  <w:rPr>
                    <w:rFonts w:eastAsia="PMingLiU"/>
                    <w:b/>
                    <w:sz w:val="18"/>
                    <w:lang w:eastAsia="zh-TW"/>
                  </w:rPr>
                </w:pPr>
              </w:p>
              <w:p w:rsidR="00C35916" w:rsidRDefault="00C35916">
                <w:pPr>
                  <w:snapToGrid/>
                  <w:spacing w:line="20" w:lineRule="exact"/>
                  <w:rPr>
                    <w:rFonts w:eastAsia="PMingLiU"/>
                    <w:b/>
                    <w:sz w:val="18"/>
                    <w:lang w:eastAsia="zh-TW"/>
                  </w:rPr>
                </w:pPr>
              </w:p>
              <w:p w:rsidR="00C35916" w:rsidRDefault="00C35916">
                <w:pPr>
                  <w:snapToGrid/>
                  <w:spacing w:line="80" w:lineRule="exact"/>
                  <w:rPr>
                    <w:rFonts w:eastAsia="PMingLiU"/>
                    <w:b/>
                    <w:sz w:val="20"/>
                    <w:lang w:eastAsia="zh-TW"/>
                  </w:rPr>
                </w:pPr>
              </w:p>
              <w:p w:rsidR="00C35916" w:rsidRDefault="00C35916">
                <w:pPr>
                  <w:snapToGrid/>
                  <w:spacing w:line="180" w:lineRule="exact"/>
                  <w:rPr>
                    <w:rFonts w:eastAsia="PMingLiU"/>
                    <w:b/>
                    <w:sz w:val="20"/>
                    <w:lang w:eastAsia="zh-TW"/>
                  </w:rPr>
                </w:pPr>
                <w:r>
                  <w:rPr>
                    <w:rFonts w:eastAsia="PMingLiU" w:hint="eastAsia"/>
                    <w:b/>
                    <w:sz w:val="20"/>
                    <w:lang w:eastAsia="zh-TW"/>
                  </w:rPr>
                  <w:t xml:space="preserve"> </w:t>
                </w:r>
              </w:p>
              <w:p w:rsidR="00C35916" w:rsidRDefault="00C35916">
                <w:pPr>
                  <w:snapToGrid/>
                  <w:spacing w:line="160" w:lineRule="exact"/>
                  <w:rPr>
                    <w:rFonts w:eastAsia="PMingLiU"/>
                    <w:b/>
                    <w:sz w:val="20"/>
                    <w:lang w:eastAsia="zh-TW"/>
                  </w:rPr>
                </w:pPr>
                <w:r>
                  <w:rPr>
                    <w:rFonts w:eastAsia="PMingLiU" w:hint="eastAsia"/>
                    <w:b/>
                    <w:sz w:val="20"/>
                    <w:lang w:eastAsia="zh-TW"/>
                  </w:rPr>
                  <w:t xml:space="preserve"> </w:t>
                </w:r>
              </w:p>
              <w:p w:rsidR="00C35916" w:rsidRDefault="00C35916">
                <w:pPr>
                  <w:snapToGrid/>
                  <w:spacing w:line="80" w:lineRule="exact"/>
                  <w:rPr>
                    <w:rFonts w:eastAsia="PMingLiU"/>
                    <w:b/>
                    <w:sz w:val="20"/>
                    <w:lang w:eastAsia="zh-TW"/>
                  </w:rPr>
                </w:pPr>
              </w:p>
              <w:p w:rsidR="00C35916" w:rsidRDefault="00C35916">
                <w:pPr>
                  <w:rPr>
                    <w:b/>
                    <w:sz w:val="20"/>
                  </w:rPr>
                </w:pPr>
                <w:r>
                  <w:rPr>
                    <w:rFonts w:eastAsia="PMingLiU" w:hint="eastAsia"/>
                    <w:b/>
                    <w:sz w:val="20"/>
                    <w:lang w:eastAsia="zh-TW"/>
                  </w:rPr>
                  <w:t xml:space="preserve"> </w:t>
                </w:r>
                <w:r>
                  <w:rPr>
                    <w:rFonts w:hint="eastAsia"/>
                    <w:b/>
                    <w:sz w:val="20"/>
                  </w:rPr>
                  <w:t>A</w:t>
                </w:r>
              </w:p>
              <w:p w:rsidR="00C35916" w:rsidRDefault="00C35916">
                <w:pPr>
                  <w:rPr>
                    <w:b/>
                    <w:sz w:val="10"/>
                  </w:rPr>
                </w:pPr>
              </w:p>
              <w:p w:rsidR="00C35916" w:rsidRDefault="00C35916">
                <w:pPr>
                  <w:rPr>
                    <w:b/>
                    <w:sz w:val="16"/>
                  </w:rPr>
                </w:pPr>
              </w:p>
              <w:p w:rsidR="00C35916" w:rsidRDefault="00C35916">
                <w:pPr>
                  <w:rPr>
                    <w:rFonts w:eastAsia="PMingLiU"/>
                    <w:b/>
                    <w:sz w:val="16"/>
                    <w:lang w:eastAsia="zh-TW"/>
                  </w:rPr>
                </w:pPr>
                <w:r>
                  <w:rPr>
                    <w:rFonts w:eastAsia="PMingLiU" w:hint="eastAsia"/>
                    <w:b/>
                    <w:sz w:val="16"/>
                    <w:lang w:eastAsia="zh-TW"/>
                  </w:rPr>
                  <w:t xml:space="preserve"> </w:t>
                </w:r>
              </w:p>
              <w:p w:rsidR="00C35916" w:rsidRDefault="00C35916">
                <w:pPr>
                  <w:rPr>
                    <w:b/>
                    <w:sz w:val="20"/>
                  </w:rPr>
                </w:pPr>
                <w:r>
                  <w:rPr>
                    <w:rFonts w:eastAsia="PMingLiU" w:hint="eastAsia"/>
                    <w:b/>
                    <w:sz w:val="20"/>
                    <w:lang w:eastAsia="zh-TW"/>
                  </w:rPr>
                  <w:t xml:space="preserve"> </w:t>
                </w:r>
                <w:r>
                  <w:rPr>
                    <w:rFonts w:hint="eastAsia"/>
                    <w:b/>
                    <w:sz w:val="20"/>
                  </w:rPr>
                  <w:t>B</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C</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pStyle w:val="Heading2"/>
                  <w:rPr>
                    <w:sz w:val="16"/>
                  </w:rPr>
                </w:pPr>
                <w:r>
                  <w:rPr>
                    <w:rFonts w:eastAsia="PMingLiU" w:hint="eastAsia"/>
                    <w:lang w:eastAsia="zh-TW"/>
                  </w:rPr>
                  <w:t xml:space="preserve"> </w:t>
                </w:r>
                <w:r>
                  <w:rPr>
                    <w:rFonts w:hint="eastAsia"/>
                  </w:rPr>
                  <w:t>D</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E</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20"/>
                  </w:rPr>
                </w:pPr>
                <w:r>
                  <w:rPr>
                    <w:rFonts w:eastAsia="PMingLiU" w:hint="eastAsia"/>
                    <w:b/>
                    <w:sz w:val="20"/>
                    <w:lang w:eastAsia="zh-TW"/>
                  </w:rPr>
                  <w:t xml:space="preserve"> </w:t>
                </w:r>
                <w:r>
                  <w:rPr>
                    <w:rFonts w:hint="eastAsia"/>
                    <w:b/>
                    <w:sz w:val="20"/>
                  </w:rPr>
                  <w:t>F</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G</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H</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I</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J</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K</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L</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M</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N</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O</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P</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Q</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R</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S</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T</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U</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pStyle w:val="Heading3"/>
                  <w:jc w:val="left"/>
                </w:pPr>
                <w:r>
                  <w:rPr>
                    <w:rFonts w:eastAsia="PMingLiU" w:hint="eastAsia"/>
                    <w:lang w:eastAsia="zh-TW"/>
                  </w:rPr>
                  <w:t xml:space="preserve"> </w:t>
                </w:r>
                <w:r>
                  <w:rPr>
                    <w:rFonts w:hint="eastAsia"/>
                  </w:rPr>
                  <w:t>V</w:t>
                </w:r>
              </w:p>
            </w:txbxContent>
          </v:textbox>
        </v:shape>
      </w:pict>
    </w:r>
    <w:r w:rsidR="00C35916" w:rsidRPr="00F74339">
      <w:rPr>
        <w:rFonts w:hint="eastAsia"/>
        <w:sz w:val="24"/>
        <w:szCs w:val="24"/>
      </w:rPr>
      <w:t xml:space="preserve"> </w:t>
    </w:r>
    <w:r w:rsidRPr="00F74339">
      <w:rPr>
        <w:rStyle w:val="PageNumber"/>
        <w:sz w:val="24"/>
        <w:szCs w:val="24"/>
      </w:rPr>
      <w:fldChar w:fldCharType="begin"/>
    </w:r>
    <w:r w:rsidR="00C35916" w:rsidRPr="00F74339">
      <w:rPr>
        <w:rStyle w:val="PageNumber"/>
        <w:sz w:val="24"/>
        <w:szCs w:val="24"/>
      </w:rPr>
      <w:instrText xml:space="preserve"> PAGE </w:instrText>
    </w:r>
    <w:r w:rsidRPr="00F74339">
      <w:rPr>
        <w:rStyle w:val="PageNumber"/>
        <w:sz w:val="24"/>
        <w:szCs w:val="24"/>
      </w:rPr>
      <w:fldChar w:fldCharType="separate"/>
    </w:r>
    <w:r w:rsidR="00CF1E93">
      <w:rPr>
        <w:rStyle w:val="PageNumber"/>
        <w:noProof/>
        <w:sz w:val="24"/>
        <w:szCs w:val="24"/>
      </w:rPr>
      <w:t>- 27 -</w:t>
    </w:r>
    <w:r w:rsidRPr="00F74339">
      <w:rPr>
        <w:rStyle w:val="PageNumber"/>
        <w:sz w:val="24"/>
        <w:szCs w:val="24"/>
      </w:rPr>
      <w:fldChar w:fldCharType="end"/>
    </w:r>
    <w:r w:rsidR="00C35916">
      <w:rPr>
        <w:rStyle w:val="PageNumber"/>
        <w:rFonts w:hint="eastAsia"/>
        <w:sz w:val="28"/>
      </w:rPr>
      <w:t xml:space="preserve"> </w:t>
    </w:r>
  </w:p>
  <w:p w:rsidR="00C35916" w:rsidRDefault="00C35916">
    <w:pPr>
      <w:pStyle w:val="Header"/>
      <w:tabs>
        <w:tab w:val="clear" w:pos="4153"/>
        <w:tab w:val="clear" w:pos="8306"/>
        <w:tab w:val="clear" w:pos="9072"/>
      </w:tabs>
      <w:rPr>
        <w:rStyle w:val="PageNumber"/>
        <w:sz w:val="28"/>
      </w:rPr>
    </w:pPr>
  </w:p>
  <w:p w:rsidR="00C35916" w:rsidRDefault="00C35916">
    <w:pPr>
      <w:pStyle w:val="Header"/>
      <w:tabs>
        <w:tab w:val="clear" w:pos="4153"/>
        <w:tab w:val="clear" w:pos="8306"/>
        <w:tab w:val="clear" w:pos="9072"/>
      </w:tabs>
      <w:rPr>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916" w:rsidRDefault="00052537">
    <w:pPr>
      <w:pStyle w:val="Header"/>
      <w:tabs>
        <w:tab w:val="clear" w:pos="1440"/>
        <w:tab w:val="clear" w:pos="4153"/>
        <w:tab w:val="clear" w:pos="4320"/>
        <w:tab w:val="clear" w:pos="8306"/>
        <w:tab w:val="clear" w:pos="9072"/>
      </w:tabs>
      <w:rPr>
        <w:sz w:val="32"/>
      </w:rPr>
    </w:pPr>
    <w:r w:rsidRPr="00052537">
      <w:rPr>
        <w:noProof/>
        <w:sz w:val="20"/>
        <w:lang w:val="en-US" w:eastAsia="en-US"/>
      </w:rPr>
      <w:pict>
        <v:shapetype id="_x0000_t202" coordsize="21600,21600" o:spt="202" path="m,l,21600r21600,l21600,xe">
          <v:stroke joinstyle="miter"/>
          <v:path gradientshapeok="t" o:connecttype="rect"/>
        </v:shapetype>
        <v:shape id="_x0000_s2059" type="#_x0000_t202" style="position:absolute;left:0;text-align:left;margin-left:469pt;margin-top:-41.4pt;width:42pt;height:807.5pt;z-index:251657216" stroked="f">
          <v:textbox style="mso-next-textbox:#_x0000_s2059">
            <w:txbxContent>
              <w:p w:rsidR="00C35916" w:rsidRDefault="00C35916">
                <w:pPr>
                  <w:snapToGrid/>
                  <w:spacing w:line="80" w:lineRule="exact"/>
                  <w:rPr>
                    <w:rFonts w:eastAsia="PMingLiU"/>
                    <w:b/>
                    <w:sz w:val="18"/>
                    <w:lang w:eastAsia="zh-TW"/>
                  </w:rPr>
                </w:pPr>
              </w:p>
              <w:p w:rsidR="00C35916" w:rsidRDefault="00C35916">
                <w:pPr>
                  <w:snapToGrid/>
                  <w:spacing w:line="80" w:lineRule="exact"/>
                  <w:rPr>
                    <w:rFonts w:eastAsia="PMingLiU"/>
                    <w:b/>
                    <w:sz w:val="18"/>
                    <w:lang w:eastAsia="zh-TW"/>
                  </w:rPr>
                </w:pPr>
              </w:p>
              <w:p w:rsidR="00C35916" w:rsidRDefault="00C35916">
                <w:pPr>
                  <w:snapToGrid/>
                  <w:spacing w:line="120" w:lineRule="exact"/>
                  <w:rPr>
                    <w:rFonts w:eastAsia="PMingLiU"/>
                    <w:b/>
                    <w:sz w:val="18"/>
                    <w:lang w:eastAsia="zh-TW"/>
                  </w:rPr>
                </w:pPr>
              </w:p>
              <w:p w:rsidR="00C35916" w:rsidRDefault="00C35916">
                <w:pPr>
                  <w:snapToGrid/>
                  <w:spacing w:line="80" w:lineRule="exact"/>
                  <w:rPr>
                    <w:rFonts w:eastAsia="PMingLiU"/>
                    <w:b/>
                    <w:sz w:val="18"/>
                    <w:lang w:eastAsia="zh-TW"/>
                  </w:rPr>
                </w:pPr>
              </w:p>
              <w:p w:rsidR="00C35916" w:rsidRDefault="00C35916">
                <w:pPr>
                  <w:snapToGrid/>
                  <w:spacing w:line="120" w:lineRule="exact"/>
                  <w:rPr>
                    <w:rFonts w:eastAsia="PMingLiU"/>
                    <w:b/>
                    <w:sz w:val="20"/>
                    <w:lang w:eastAsia="zh-TW"/>
                  </w:rPr>
                </w:pPr>
              </w:p>
              <w:p w:rsidR="00C35916" w:rsidRDefault="00C35916">
                <w:pPr>
                  <w:snapToGrid/>
                  <w:spacing w:line="200" w:lineRule="exact"/>
                  <w:rPr>
                    <w:rFonts w:eastAsia="PMingLiU"/>
                    <w:b/>
                    <w:sz w:val="20"/>
                    <w:lang w:eastAsia="zh-TW"/>
                  </w:rPr>
                </w:pPr>
                <w:r>
                  <w:rPr>
                    <w:rFonts w:eastAsia="PMingLiU" w:hint="eastAsia"/>
                    <w:b/>
                    <w:sz w:val="20"/>
                    <w:lang w:eastAsia="zh-TW"/>
                  </w:rPr>
                  <w:t xml:space="preserve"> </w:t>
                </w:r>
              </w:p>
              <w:p w:rsidR="00C35916" w:rsidRDefault="00C35916">
                <w:pPr>
                  <w:snapToGrid/>
                  <w:spacing w:line="80" w:lineRule="exact"/>
                  <w:rPr>
                    <w:rFonts w:eastAsia="PMingLiU"/>
                    <w:b/>
                    <w:sz w:val="20"/>
                    <w:lang w:eastAsia="zh-TW"/>
                  </w:rPr>
                </w:pPr>
                <w:r>
                  <w:rPr>
                    <w:rFonts w:eastAsia="PMingLiU" w:hint="eastAsia"/>
                    <w:b/>
                    <w:sz w:val="20"/>
                    <w:lang w:eastAsia="zh-TW"/>
                  </w:rPr>
                  <w:t xml:space="preserve"> </w:t>
                </w:r>
              </w:p>
              <w:p w:rsidR="00C35916" w:rsidRDefault="00C35916">
                <w:pPr>
                  <w:snapToGrid/>
                  <w:spacing w:line="80" w:lineRule="exact"/>
                  <w:rPr>
                    <w:rFonts w:eastAsia="PMingLiU"/>
                    <w:b/>
                    <w:sz w:val="20"/>
                    <w:lang w:eastAsia="zh-TW"/>
                  </w:rPr>
                </w:pPr>
              </w:p>
              <w:p w:rsidR="00C35916" w:rsidRDefault="00C35916">
                <w:pPr>
                  <w:rPr>
                    <w:b/>
                    <w:sz w:val="20"/>
                  </w:rPr>
                </w:pPr>
                <w:r>
                  <w:rPr>
                    <w:rFonts w:eastAsia="PMingLiU" w:hint="eastAsia"/>
                    <w:b/>
                    <w:sz w:val="20"/>
                    <w:lang w:eastAsia="zh-TW"/>
                  </w:rPr>
                  <w:t xml:space="preserve"> </w:t>
                </w:r>
                <w:r>
                  <w:rPr>
                    <w:rFonts w:hint="eastAsia"/>
                    <w:b/>
                    <w:sz w:val="20"/>
                  </w:rPr>
                  <w:t>A</w:t>
                </w:r>
              </w:p>
              <w:p w:rsidR="00C35916" w:rsidRDefault="00C35916">
                <w:pPr>
                  <w:rPr>
                    <w:b/>
                    <w:sz w:val="10"/>
                  </w:rPr>
                </w:pPr>
              </w:p>
              <w:p w:rsidR="00C35916" w:rsidRDefault="00C35916">
                <w:pPr>
                  <w:rPr>
                    <w:b/>
                    <w:sz w:val="16"/>
                  </w:rPr>
                </w:pPr>
              </w:p>
              <w:p w:rsidR="00C35916" w:rsidRDefault="00C35916">
                <w:pPr>
                  <w:rPr>
                    <w:rFonts w:eastAsia="PMingLiU"/>
                    <w:b/>
                    <w:sz w:val="16"/>
                    <w:lang w:eastAsia="zh-TW"/>
                  </w:rPr>
                </w:pPr>
                <w:r>
                  <w:rPr>
                    <w:rFonts w:eastAsia="PMingLiU" w:hint="eastAsia"/>
                    <w:b/>
                    <w:sz w:val="16"/>
                    <w:lang w:eastAsia="zh-TW"/>
                  </w:rPr>
                  <w:t xml:space="preserve"> </w:t>
                </w:r>
              </w:p>
              <w:p w:rsidR="00C35916" w:rsidRDefault="00C35916">
                <w:pPr>
                  <w:rPr>
                    <w:b/>
                    <w:sz w:val="20"/>
                  </w:rPr>
                </w:pPr>
                <w:r>
                  <w:rPr>
                    <w:rFonts w:eastAsia="PMingLiU" w:hint="eastAsia"/>
                    <w:b/>
                    <w:sz w:val="20"/>
                    <w:lang w:eastAsia="zh-TW"/>
                  </w:rPr>
                  <w:t xml:space="preserve"> </w:t>
                </w:r>
                <w:r>
                  <w:rPr>
                    <w:rFonts w:hint="eastAsia"/>
                    <w:b/>
                    <w:sz w:val="20"/>
                  </w:rPr>
                  <w:t>B</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C</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pStyle w:val="Heading2"/>
                  <w:rPr>
                    <w:sz w:val="16"/>
                  </w:rPr>
                </w:pPr>
                <w:r>
                  <w:rPr>
                    <w:rFonts w:eastAsia="PMingLiU" w:hint="eastAsia"/>
                    <w:lang w:eastAsia="zh-TW"/>
                  </w:rPr>
                  <w:t xml:space="preserve"> </w:t>
                </w:r>
                <w:r>
                  <w:rPr>
                    <w:rFonts w:hint="eastAsia"/>
                  </w:rPr>
                  <w:t>D</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E</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20"/>
                  </w:rPr>
                </w:pPr>
                <w:r>
                  <w:rPr>
                    <w:rFonts w:eastAsia="PMingLiU" w:hint="eastAsia"/>
                    <w:b/>
                    <w:sz w:val="20"/>
                    <w:lang w:eastAsia="zh-TW"/>
                  </w:rPr>
                  <w:t xml:space="preserve"> </w:t>
                </w:r>
                <w:r>
                  <w:rPr>
                    <w:rFonts w:hint="eastAsia"/>
                    <w:b/>
                    <w:sz w:val="20"/>
                  </w:rPr>
                  <w:t>F</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G</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H</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I</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J</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K</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L</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M</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N</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O</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P</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Q</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R</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S</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T</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rPr>
                    <w:b/>
                    <w:sz w:val="16"/>
                  </w:rPr>
                </w:pPr>
                <w:r>
                  <w:rPr>
                    <w:rFonts w:eastAsia="PMingLiU" w:hint="eastAsia"/>
                    <w:b/>
                    <w:sz w:val="20"/>
                    <w:lang w:eastAsia="zh-TW"/>
                  </w:rPr>
                  <w:t xml:space="preserve"> </w:t>
                </w:r>
                <w:r>
                  <w:rPr>
                    <w:rFonts w:hint="eastAsia"/>
                    <w:b/>
                    <w:sz w:val="20"/>
                  </w:rPr>
                  <w:t>U</w:t>
                </w:r>
              </w:p>
              <w:p w:rsidR="00C35916" w:rsidRDefault="00C35916">
                <w:pPr>
                  <w:rPr>
                    <w:b/>
                    <w:sz w:val="10"/>
                  </w:rPr>
                </w:pPr>
              </w:p>
              <w:p w:rsidR="00C35916" w:rsidRDefault="00C35916">
                <w:pPr>
                  <w:rPr>
                    <w:b/>
                    <w:sz w:val="16"/>
                  </w:rPr>
                </w:pPr>
              </w:p>
              <w:p w:rsidR="00C35916" w:rsidRDefault="00C35916">
                <w:pPr>
                  <w:rPr>
                    <w:b/>
                    <w:sz w:val="16"/>
                  </w:rPr>
                </w:pPr>
              </w:p>
              <w:p w:rsidR="00C35916" w:rsidRDefault="00C35916">
                <w:pPr>
                  <w:pStyle w:val="Heading3"/>
                  <w:jc w:val="left"/>
                </w:pPr>
                <w:r>
                  <w:rPr>
                    <w:rFonts w:eastAsia="PMingLiU" w:hint="eastAsia"/>
                    <w:lang w:eastAsia="zh-TW"/>
                  </w:rPr>
                  <w:t xml:space="preserve"> </w:t>
                </w:r>
                <w:r>
                  <w:rPr>
                    <w:rFonts w:hint="eastAsia"/>
                  </w:rPr>
                  <w:t>V</w:t>
                </w:r>
              </w:p>
            </w:txbxContent>
          </v:textbox>
        </v:shape>
      </w:pict>
    </w:r>
    <w:r w:rsidRPr="00052537">
      <w:rPr>
        <w:noProof/>
        <w:sz w:val="20"/>
        <w:lang w:val="en-US" w:eastAsia="en-US"/>
      </w:rPr>
      <w:pict>
        <v:shape id="_x0000_s2058" type="#_x0000_t202" style="position:absolute;left:0;text-align:left;margin-left:-84pt;margin-top:-31.9pt;width:42pt;height:807.5pt;z-index:251656192" stroked="f">
          <v:textbox style="mso-next-textbox:#_x0000_s2058">
            <w:txbxContent>
              <w:p w:rsidR="00C35916" w:rsidRDefault="00C35916">
                <w:pPr>
                  <w:rPr>
                    <w:rFonts w:eastAsia="PMingLiU"/>
                    <w:b/>
                    <w:sz w:val="18"/>
                    <w:lang w:eastAsia="zh-TW"/>
                  </w:rPr>
                </w:pPr>
                <w:r>
                  <w:rPr>
                    <w:rFonts w:eastAsia="PMingLiU" w:hint="eastAsia"/>
                    <w:b/>
                    <w:sz w:val="18"/>
                    <w:lang w:eastAsia="zh-TW"/>
                  </w:rPr>
                  <w:t xml:space="preserve">  </w:t>
                </w:r>
                <w:r>
                  <w:rPr>
                    <w:rFonts w:eastAsia="黑体" w:hint="eastAsia"/>
                    <w:b/>
                    <w:sz w:val="18"/>
                  </w:rPr>
                  <w:t>由此</w:t>
                </w:r>
              </w:p>
              <w:p w:rsidR="00C35916" w:rsidRDefault="00C35916">
                <w:pPr>
                  <w:rPr>
                    <w:rFonts w:eastAsia="PMingLiU"/>
                    <w:b/>
                    <w:sz w:val="18"/>
                    <w:lang w:eastAsia="zh-TW"/>
                  </w:rPr>
                </w:pPr>
              </w:p>
              <w:p w:rsidR="00C35916" w:rsidRDefault="00C35916">
                <w:pPr>
                  <w:rPr>
                    <w:rFonts w:eastAsia="PMingLiU"/>
                    <w:b/>
                    <w:sz w:val="20"/>
                    <w:lang w:eastAsia="zh-TW"/>
                  </w:rPr>
                </w:pPr>
              </w:p>
              <w:p w:rsidR="00C35916" w:rsidRDefault="00C35916">
                <w:pPr>
                  <w:ind w:firstLine="140"/>
                  <w:rPr>
                    <w:b/>
                    <w:sz w:val="20"/>
                  </w:rPr>
                </w:pPr>
                <w:r>
                  <w:rPr>
                    <w:rFonts w:eastAsia="PMingLiU" w:hint="eastAsia"/>
                    <w:b/>
                    <w:sz w:val="20"/>
                    <w:lang w:eastAsia="zh-TW"/>
                  </w:rPr>
                  <w:t xml:space="preserve"> </w:t>
                </w:r>
                <w:r>
                  <w:rPr>
                    <w:rFonts w:hint="eastAsia"/>
                    <w:b/>
                    <w:sz w:val="20"/>
                  </w:rPr>
                  <w:t>A</w:t>
                </w:r>
              </w:p>
              <w:p w:rsidR="00C35916" w:rsidRDefault="00C35916">
                <w:pPr>
                  <w:tabs>
                    <w:tab w:val="clear" w:pos="4320"/>
                    <w:tab w:val="clear" w:pos="9072"/>
                  </w:tabs>
                  <w:ind w:firstLine="140"/>
                  <w:rPr>
                    <w:b/>
                    <w:sz w:val="10"/>
                  </w:rPr>
                </w:pPr>
              </w:p>
              <w:p w:rsidR="00C35916" w:rsidRDefault="00C35916">
                <w:pPr>
                  <w:ind w:firstLine="140"/>
                  <w:rPr>
                    <w:b/>
                    <w:sz w:val="16"/>
                  </w:rPr>
                </w:pPr>
              </w:p>
              <w:p w:rsidR="00C35916" w:rsidRDefault="00C35916">
                <w:pPr>
                  <w:ind w:firstLine="140"/>
                  <w:rPr>
                    <w:rFonts w:eastAsia="PMingLiU"/>
                    <w:b/>
                    <w:sz w:val="16"/>
                    <w:lang w:eastAsia="zh-TW"/>
                  </w:rPr>
                </w:pPr>
                <w:r>
                  <w:rPr>
                    <w:rFonts w:eastAsia="PMingLiU" w:hint="eastAsia"/>
                    <w:b/>
                    <w:sz w:val="16"/>
                    <w:lang w:eastAsia="zh-TW"/>
                  </w:rPr>
                  <w:t xml:space="preserve"> </w:t>
                </w:r>
              </w:p>
              <w:p w:rsidR="00C35916" w:rsidRDefault="00C35916">
                <w:pPr>
                  <w:ind w:firstLine="140"/>
                  <w:rPr>
                    <w:b/>
                    <w:sz w:val="20"/>
                  </w:rPr>
                </w:pPr>
                <w:r>
                  <w:rPr>
                    <w:rFonts w:eastAsia="PMingLiU" w:hint="eastAsia"/>
                    <w:b/>
                    <w:sz w:val="20"/>
                    <w:lang w:eastAsia="zh-TW"/>
                  </w:rPr>
                  <w:t xml:space="preserve"> </w:t>
                </w:r>
                <w:r>
                  <w:rPr>
                    <w:rFonts w:hint="eastAsia"/>
                    <w:b/>
                    <w:sz w:val="20"/>
                  </w:rPr>
                  <w:t>B</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C</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pStyle w:val="Heading2"/>
                  <w:ind w:firstLine="140"/>
                  <w:rPr>
                    <w:sz w:val="16"/>
                  </w:rPr>
                </w:pPr>
                <w:r>
                  <w:rPr>
                    <w:rFonts w:eastAsia="PMingLiU" w:hint="eastAsia"/>
                    <w:lang w:eastAsia="zh-TW"/>
                  </w:rPr>
                  <w:t xml:space="preserve"> </w:t>
                </w:r>
                <w:r>
                  <w:rPr>
                    <w:rFonts w:hint="eastAsia"/>
                  </w:rPr>
                  <w:t>D</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E</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20"/>
                  </w:rPr>
                </w:pPr>
                <w:r>
                  <w:rPr>
                    <w:rFonts w:eastAsia="PMingLiU" w:hint="eastAsia"/>
                    <w:b/>
                    <w:sz w:val="20"/>
                    <w:lang w:eastAsia="zh-TW"/>
                  </w:rPr>
                  <w:t xml:space="preserve"> </w:t>
                </w:r>
                <w:r>
                  <w:rPr>
                    <w:rFonts w:hint="eastAsia"/>
                    <w:b/>
                    <w:sz w:val="20"/>
                  </w:rPr>
                  <w:t>F</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G</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H</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I</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J</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K</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L</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M</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N</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O</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P</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Q</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R</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S</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T</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ind w:firstLine="140"/>
                  <w:rPr>
                    <w:b/>
                    <w:sz w:val="16"/>
                  </w:rPr>
                </w:pPr>
                <w:r>
                  <w:rPr>
                    <w:rFonts w:eastAsia="PMingLiU" w:hint="eastAsia"/>
                    <w:b/>
                    <w:sz w:val="20"/>
                    <w:lang w:eastAsia="zh-TW"/>
                  </w:rPr>
                  <w:t xml:space="preserve"> </w:t>
                </w:r>
                <w:r>
                  <w:rPr>
                    <w:rFonts w:hint="eastAsia"/>
                    <w:b/>
                    <w:sz w:val="20"/>
                  </w:rPr>
                  <w:t>U</w:t>
                </w:r>
              </w:p>
              <w:p w:rsidR="00C35916" w:rsidRDefault="00C35916">
                <w:pPr>
                  <w:ind w:firstLine="140"/>
                  <w:rPr>
                    <w:b/>
                    <w:sz w:val="10"/>
                  </w:rPr>
                </w:pPr>
              </w:p>
              <w:p w:rsidR="00C35916" w:rsidRDefault="00C35916">
                <w:pPr>
                  <w:ind w:firstLine="140"/>
                  <w:rPr>
                    <w:b/>
                    <w:sz w:val="16"/>
                  </w:rPr>
                </w:pPr>
              </w:p>
              <w:p w:rsidR="00C35916" w:rsidRDefault="00C35916">
                <w:pPr>
                  <w:ind w:firstLine="140"/>
                  <w:rPr>
                    <w:b/>
                    <w:sz w:val="16"/>
                  </w:rPr>
                </w:pPr>
              </w:p>
              <w:p w:rsidR="00C35916" w:rsidRDefault="00C35916">
                <w:pPr>
                  <w:pStyle w:val="Heading3"/>
                  <w:ind w:firstLine="140"/>
                  <w:jc w:val="left"/>
                </w:pPr>
                <w:r>
                  <w:rPr>
                    <w:rFonts w:eastAsia="PMingLiU" w:hint="eastAsia"/>
                    <w:lang w:eastAsia="zh-TW"/>
                  </w:rPr>
                  <w:t xml:space="preserve"> </w:t>
                </w:r>
                <w:r>
                  <w:rPr>
                    <w:rFonts w:hint="eastAsia"/>
                  </w:rPr>
                  <w:t>V</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9E2"/>
    <w:multiLevelType w:val="multilevel"/>
    <w:tmpl w:val="D3781E24"/>
    <w:lvl w:ilvl="0">
      <w:start w:val="1"/>
      <w:numFmt w:val="decimal"/>
      <w:pStyle w:val="ar-draft"/>
      <w:lvlText w:val="%1."/>
      <w:lvlJc w:val="left"/>
      <w:pPr>
        <w:tabs>
          <w:tab w:val="num" w:pos="360"/>
        </w:tabs>
        <w:ind w:left="0" w:firstLine="0"/>
      </w:pPr>
    </w:lvl>
    <w:lvl w:ilvl="1">
      <w:start w:val="1"/>
      <w:numFmt w:val="none"/>
      <w:lvlText w:val="(a)"/>
      <w:lvlJc w:val="left"/>
      <w:pPr>
        <w:tabs>
          <w:tab w:val="num" w:pos="992"/>
        </w:tabs>
        <w:ind w:left="992" w:hanging="567"/>
      </w:pPr>
    </w:lvl>
    <w:lvl w:ilvl="2">
      <w:start w:val="1"/>
      <w:numFmt w:val="none"/>
      <w:lvlText w:val="(i)"/>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
    <w:nsid w:val="08183709"/>
    <w:multiLevelType w:val="multilevel"/>
    <w:tmpl w:val="C6BA400C"/>
    <w:lvl w:ilvl="0">
      <w:start w:val="1"/>
      <w:numFmt w:val="lowerLetter"/>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940FB4"/>
    <w:multiLevelType w:val="multilevel"/>
    <w:tmpl w:val="E3E453EC"/>
    <w:lvl w:ilvl="0">
      <w:start w:val="1"/>
      <w:numFmt w:val="none"/>
      <w:lvlText w:val="%1"/>
      <w:lvlJc w:val="left"/>
      <w:pPr>
        <w:ind w:left="360" w:hanging="360"/>
      </w:pPr>
      <w:rPr>
        <w:rFonts w:hint="eastAsia"/>
      </w:rPr>
    </w:lvl>
    <w:lvl w:ilvl="1">
      <w:start w:val="2"/>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none"/>
      <w:lvlText w:val=""/>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
    <w:nsid w:val="23827A6D"/>
    <w:multiLevelType w:val="hybridMultilevel"/>
    <w:tmpl w:val="11B240F6"/>
    <w:lvl w:ilvl="0" w:tplc="99CEF650">
      <w:start w:val="1"/>
      <w:numFmt w:val="lowerRoman"/>
      <w:lvlText w:val="(%1)"/>
      <w:lvlJc w:val="left"/>
      <w:pPr>
        <w:ind w:left="1457"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62469AB"/>
    <w:multiLevelType w:val="singleLevel"/>
    <w:tmpl w:val="EA265490"/>
    <w:lvl w:ilvl="0">
      <w:start w:val="1"/>
      <w:numFmt w:val="decimal"/>
      <w:pStyle w:val="para"/>
      <w:lvlText w:val="%1."/>
      <w:lvlJc w:val="left"/>
      <w:pPr>
        <w:tabs>
          <w:tab w:val="num" w:pos="360"/>
        </w:tabs>
        <w:ind w:left="0" w:firstLine="0"/>
      </w:pPr>
      <w:rPr>
        <w:rFonts w:hint="eastAsia"/>
      </w:rPr>
    </w:lvl>
  </w:abstractNum>
  <w:abstractNum w:abstractNumId="5">
    <w:nsid w:val="2BA772AD"/>
    <w:multiLevelType w:val="hybridMultilevel"/>
    <w:tmpl w:val="FAD8CF10"/>
    <w:lvl w:ilvl="0" w:tplc="51FCC73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00E34"/>
    <w:multiLevelType w:val="multilevel"/>
    <w:tmpl w:val="7F4E45C8"/>
    <w:lvl w:ilvl="0">
      <w:start w:val="1"/>
      <w:numFmt w:val="bullet"/>
      <w:lvlText w:val="̒"/>
      <w:lvlJc w:val="left"/>
      <w:pPr>
        <w:ind w:left="360" w:hanging="360"/>
      </w:pPr>
      <w:rPr>
        <w:rFonts w:ascii="Times New Roman" w:hAnsi="Times New Roman" w:cs="Times New Roman" w:hint="default"/>
      </w:rPr>
    </w:lvl>
    <w:lvl w:ilvl="1">
      <w:start w:val="1"/>
      <w:numFmt w:val="lowerLetter"/>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303B0AF3"/>
    <w:multiLevelType w:val="hybridMultilevel"/>
    <w:tmpl w:val="0338BD14"/>
    <w:lvl w:ilvl="0" w:tplc="135ACC52">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nsid w:val="32006732"/>
    <w:multiLevelType w:val="hybridMultilevel"/>
    <w:tmpl w:val="3D1266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35DE5346"/>
    <w:multiLevelType w:val="hybridMultilevel"/>
    <w:tmpl w:val="C6BA400C"/>
    <w:lvl w:ilvl="0" w:tplc="717E6252">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534CD"/>
    <w:multiLevelType w:val="hybridMultilevel"/>
    <w:tmpl w:val="B1EE970A"/>
    <w:lvl w:ilvl="0" w:tplc="B8F625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40156A"/>
    <w:multiLevelType w:val="multilevel"/>
    <w:tmpl w:val="00C4B980"/>
    <w:lvl w:ilvl="0">
      <w:start w:val="2"/>
      <w:numFmt w:val="bullet"/>
      <w:lvlText w:val="“"/>
      <w:lvlJc w:val="left"/>
      <w:pPr>
        <w:ind w:left="360" w:hanging="360"/>
      </w:pPr>
      <w:rPr>
        <w:rFonts w:ascii="Times New Roman" w:hAnsi="Times New Roman" w:cs="Times New Roman" w:hint="default"/>
      </w:rPr>
    </w:lvl>
    <w:lvl w:ilvl="1">
      <w:start w:val="2"/>
      <w:numFmt w:val="lowerLetter"/>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4C1C0EBE"/>
    <w:multiLevelType w:val="hybridMultilevel"/>
    <w:tmpl w:val="4000A3F2"/>
    <w:lvl w:ilvl="0" w:tplc="F78C5B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996CAD"/>
    <w:multiLevelType w:val="hybridMultilevel"/>
    <w:tmpl w:val="A9FA650A"/>
    <w:lvl w:ilvl="0" w:tplc="8FD08682">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69D30F72"/>
    <w:multiLevelType w:val="multilevel"/>
    <w:tmpl w:val="706A21C8"/>
    <w:lvl w:ilvl="0">
      <w:start w:val="2"/>
      <w:numFmt w:val="bullet"/>
      <w:lvlText w:val="̒"/>
      <w:lvlJc w:val="left"/>
      <w:pPr>
        <w:ind w:left="360" w:hanging="360"/>
      </w:pPr>
      <w:rPr>
        <w:rFonts w:ascii="Times New Roman" w:hAnsi="Times New Roman" w:cs="Times New Roman" w:hint="default"/>
      </w:rPr>
    </w:lvl>
    <w:lvl w:ilvl="1">
      <w:start w:val="2"/>
      <w:numFmt w:val="lowerLetter"/>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nsid w:val="6EAC7D0D"/>
    <w:multiLevelType w:val="multilevel"/>
    <w:tmpl w:val="A9ACBC54"/>
    <w:lvl w:ilvl="0">
      <w:start w:val="1"/>
      <w:numFmt w:val="decimal"/>
      <w:pStyle w:val="Style1"/>
      <w:lvlText w:val="%1."/>
      <w:lvlJc w:val="left"/>
      <w:pPr>
        <w:tabs>
          <w:tab w:val="num" w:pos="360"/>
        </w:tabs>
        <w:ind w:left="0" w:firstLine="0"/>
      </w:pPr>
      <w:rPr>
        <w:rFonts w:ascii="Times New Roman" w:hAnsi="Times New Roman" w:hint="default"/>
        <w:b w:val="0"/>
        <w:i w:val="0"/>
        <w:spacing w:val="0"/>
        <w:w w:val="100"/>
        <w:position w:val="0"/>
        <w:sz w:val="28"/>
      </w:rPr>
    </w:lvl>
    <w:lvl w:ilvl="1">
      <w:start w:val="1"/>
      <w:numFmt w:val="bullet"/>
      <w:lvlText w:val="“"/>
      <w:lvlJc w:val="left"/>
      <w:pPr>
        <w:tabs>
          <w:tab w:val="num" w:pos="1531"/>
        </w:tabs>
        <w:ind w:left="1531" w:hanging="397"/>
      </w:pPr>
      <w:rPr>
        <w:rFonts w:ascii="Times New Roman" w:hAnsi="Times New Roman" w:cs="Times New Roman" w:hint="default"/>
        <w:b w:val="0"/>
        <w:i w:val="0"/>
        <w:sz w:val="24"/>
      </w:rPr>
    </w:lvl>
    <w:lvl w:ilvl="2">
      <w:start w:val="1"/>
      <w:numFmt w:val="decimal"/>
      <w:lvlText w:val="(%3)"/>
      <w:lvlJc w:val="left"/>
      <w:pPr>
        <w:tabs>
          <w:tab w:val="num" w:pos="2340"/>
        </w:tabs>
        <w:ind w:left="2160" w:hanging="180"/>
      </w:pPr>
      <w:rPr>
        <w:rFonts w:ascii="Times New Roman" w:eastAsia="宋体" w:hAnsi="Times New Roman" w:hint="default"/>
        <w:b w:val="0"/>
        <w:i w:val="0"/>
        <w:sz w:val="24"/>
      </w:rPr>
    </w:lvl>
    <w:lvl w:ilvl="3">
      <w:start w:val="1"/>
      <w:numFmt w:val="decimal"/>
      <w:lvlText w:val="(%4)"/>
      <w:lvlJc w:val="left"/>
      <w:pPr>
        <w:tabs>
          <w:tab w:val="num" w:pos="3270"/>
        </w:tabs>
        <w:ind w:left="3270" w:hanging="750"/>
      </w:pPr>
      <w:rPr>
        <w:rFonts w:ascii="Times New Roman" w:eastAsia="宋体" w:hAnsi="Times New Roman" w:hint="default"/>
        <w:b w:val="0"/>
        <w:i w:val="0"/>
        <w:sz w:val="24"/>
      </w:rPr>
    </w:lvl>
    <w:lvl w:ilvl="4">
      <w:start w:val="1"/>
      <w:numFmt w:val="decimal"/>
      <w:lvlText w:val="%5."/>
      <w:lvlJc w:val="left"/>
      <w:pPr>
        <w:tabs>
          <w:tab w:val="num" w:pos="3600"/>
        </w:tabs>
        <w:ind w:left="3600" w:hanging="360"/>
      </w:pPr>
      <w:rPr>
        <w:rFonts w:ascii="Times New Roman" w:eastAsia="宋体" w:hAnsi="Times New Roman" w:hint="default"/>
        <w:b w:val="0"/>
        <w:i w:val="0"/>
        <w:sz w:val="24"/>
      </w:rPr>
    </w:lvl>
    <w:lvl w:ilvl="5">
      <w:start w:val="1"/>
      <w:numFmt w:val="none"/>
      <w:lvlText w:val=""/>
      <w:lvlJc w:val="right"/>
      <w:pPr>
        <w:tabs>
          <w:tab w:val="num" w:pos="4320"/>
        </w:tabs>
        <w:ind w:left="4320" w:hanging="180"/>
      </w:pPr>
      <w:rPr>
        <w:rFonts w:ascii="Times New Roman" w:hAnsi="Times New Roman" w:hint="default"/>
        <w:b w:val="0"/>
        <w:i w:val="0"/>
        <w:sz w:val="28"/>
      </w:rPr>
    </w:lvl>
    <w:lvl w:ilvl="6">
      <w:start w:val="1"/>
      <w:numFmt w:val="lowerLetter"/>
      <w:lvlText w:val="(%7)"/>
      <w:lvlJc w:val="left"/>
      <w:pPr>
        <w:tabs>
          <w:tab w:val="num" w:pos="5040"/>
        </w:tabs>
        <w:ind w:left="5040" w:hanging="360"/>
      </w:pPr>
      <w:rPr>
        <w:rFonts w:ascii="Times New Roman" w:eastAsia="宋体" w:hAnsi="Times New Roman" w:hint="default"/>
        <w:b w:val="0"/>
        <w:i w:val="0"/>
        <w:sz w:val="24"/>
      </w:rPr>
    </w:lvl>
    <w:lvl w:ilvl="7">
      <w:start w:val="1"/>
      <w:numFmt w:val="lowerRoman"/>
      <w:lvlText w:val="%8."/>
      <w:lvlJc w:val="left"/>
      <w:pPr>
        <w:tabs>
          <w:tab w:val="num" w:pos="6120"/>
        </w:tabs>
        <w:ind w:left="5760" w:hanging="360"/>
      </w:pPr>
      <w:rPr>
        <w:rFonts w:ascii="Times New Roman" w:eastAsia="宋体" w:hAnsi="Times New Roman" w:hint="default"/>
        <w:b w:val="0"/>
        <w:i w:val="0"/>
        <w:sz w:val="24"/>
      </w:rPr>
    </w:lvl>
    <w:lvl w:ilvl="8">
      <w:start w:val="1"/>
      <w:numFmt w:val="lowerLetter"/>
      <w:lvlText w:val="%9."/>
      <w:lvlJc w:val="right"/>
      <w:pPr>
        <w:tabs>
          <w:tab w:val="num" w:pos="6480"/>
        </w:tabs>
        <w:ind w:left="6480" w:hanging="526"/>
      </w:pPr>
      <w:rPr>
        <w:rFonts w:ascii="Times New Roman" w:eastAsia="宋体" w:hAnsi="Times New Roman" w:hint="default"/>
        <w:b w:val="0"/>
        <w:i w:val="0"/>
        <w:sz w:val="24"/>
      </w:rPr>
    </w:lvl>
  </w:abstractNum>
  <w:abstractNum w:abstractNumId="16">
    <w:nsid w:val="71273F17"/>
    <w:multiLevelType w:val="multilevel"/>
    <w:tmpl w:val="6BAE5B46"/>
    <w:lvl w:ilvl="0">
      <w:start w:val="1"/>
      <w:numFmt w:val="none"/>
      <w:lvlText w:val="%1"/>
      <w:lvlJc w:val="left"/>
      <w:pPr>
        <w:ind w:left="360" w:hanging="360"/>
      </w:pPr>
      <w:rPr>
        <w:rFonts w:hint="eastAsia"/>
      </w:rPr>
    </w:lvl>
    <w:lvl w:ilvl="1">
      <w:start w:val="2"/>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none"/>
      <w:lvlText w:val=""/>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7">
    <w:nsid w:val="774B5A46"/>
    <w:multiLevelType w:val="multilevel"/>
    <w:tmpl w:val="6BAE5B46"/>
    <w:lvl w:ilvl="0">
      <w:start w:val="1"/>
      <w:numFmt w:val="none"/>
      <w:lvlText w:val="%1"/>
      <w:lvlJc w:val="left"/>
      <w:pPr>
        <w:ind w:left="360" w:hanging="360"/>
      </w:pPr>
      <w:rPr>
        <w:rFonts w:hint="eastAsia"/>
      </w:rPr>
    </w:lvl>
    <w:lvl w:ilvl="1">
      <w:start w:val="2"/>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none"/>
      <w:lvlText w:val=""/>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8">
    <w:nsid w:val="7FAD6B23"/>
    <w:multiLevelType w:val="multilevel"/>
    <w:tmpl w:val="476A28CE"/>
    <w:lvl w:ilvl="0">
      <w:start w:val="1"/>
      <w:numFmt w:val="none"/>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none"/>
      <w:lvlText w:val=""/>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num w:numId="1">
    <w:abstractNumId w:val="1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5"/>
  </w:num>
  <w:num w:numId="9">
    <w:abstractNumId w:val="10"/>
  </w:num>
  <w:num w:numId="10">
    <w:abstractNumId w:val="8"/>
  </w:num>
  <w:num w:numId="11">
    <w:abstractNumId w:val="3"/>
  </w:num>
  <w:num w:numId="12">
    <w:abstractNumId w:val="9"/>
  </w:num>
  <w:num w:numId="13">
    <w:abstractNumId w:val="1"/>
  </w:num>
  <w:num w:numId="14">
    <w:abstractNumId w:val="17"/>
  </w:num>
  <w:num w:numId="15">
    <w:abstractNumId w:val="18"/>
  </w:num>
  <w:num w:numId="16">
    <w:abstractNumId w:val="2"/>
  </w:num>
  <w:num w:numId="17">
    <w:abstractNumId w:val="16"/>
  </w:num>
  <w:num w:numId="18">
    <w:abstractNumId w:val="11"/>
  </w:num>
  <w:num w:numId="19">
    <w:abstractNumId w:val="6"/>
  </w:num>
  <w:num w:numId="20">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attachedTemplate r:id="rId1"/>
  <w:defaultTabStop w:val="432"/>
  <w:drawingGridHorizontalSpacing w:val="140"/>
  <w:drawingGridVerticalSpacing w:val="190"/>
  <w:displayHorizontalDrawingGridEvery w:val="0"/>
  <w:displayVerticalDrawingGridEvery w:val="2"/>
  <w:characterSpacingControl w:val="compressPunctuation"/>
  <w:noLineBreaksAfter w:lang="zh-CN" w:val="$(-[{£¥·‘“〈《「『【〔〖〝﹙﹛﹝＄（．［｛￡￥"/>
  <w:noLineBreaksBefore w:lang="zh-CN" w:val="!%),-.:;&gt;?]}¢¨°·ˇˉ―‖’”…‰′″›℃∶、。〃〉》」』】〕〗〞︶︺︾﹀﹄﹚﹜﹞！＂％＇），．：；？］｀｜｝～￠"/>
  <w:savePreviewPicture/>
  <w:hdrShapeDefaults>
    <o:shapedefaults v:ext="edit" spidmax="150530">
      <o:colormenu v:ext="edit" fillcolor="none"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gnword-docGUID" w:val="{000FD7EA-4869-4484-9A47-3DEED4DBF6F4}"/>
    <w:docVar w:name="dgnword-eventsink" w:val="23158752"/>
  </w:docVars>
  <w:rsids>
    <w:rsidRoot w:val="000C6B52"/>
    <w:rsid w:val="00001353"/>
    <w:rsid w:val="000013F7"/>
    <w:rsid w:val="00011250"/>
    <w:rsid w:val="000122AE"/>
    <w:rsid w:val="00021673"/>
    <w:rsid w:val="000243C1"/>
    <w:rsid w:val="000247CD"/>
    <w:rsid w:val="00032DAA"/>
    <w:rsid w:val="00033599"/>
    <w:rsid w:val="00037388"/>
    <w:rsid w:val="0005043C"/>
    <w:rsid w:val="00050772"/>
    <w:rsid w:val="00050E8C"/>
    <w:rsid w:val="00052537"/>
    <w:rsid w:val="00053C06"/>
    <w:rsid w:val="000609ED"/>
    <w:rsid w:val="0006444B"/>
    <w:rsid w:val="000833FF"/>
    <w:rsid w:val="00083BCE"/>
    <w:rsid w:val="00091A11"/>
    <w:rsid w:val="00094971"/>
    <w:rsid w:val="000A5757"/>
    <w:rsid w:val="000B318E"/>
    <w:rsid w:val="000B3B82"/>
    <w:rsid w:val="000C1C17"/>
    <w:rsid w:val="000C4499"/>
    <w:rsid w:val="000C5474"/>
    <w:rsid w:val="000C5A25"/>
    <w:rsid w:val="000C680A"/>
    <w:rsid w:val="000C6B52"/>
    <w:rsid w:val="000D371B"/>
    <w:rsid w:val="000D4EAC"/>
    <w:rsid w:val="000D6E59"/>
    <w:rsid w:val="000E711A"/>
    <w:rsid w:val="000F48C2"/>
    <w:rsid w:val="000F5060"/>
    <w:rsid w:val="000F5357"/>
    <w:rsid w:val="000F70C2"/>
    <w:rsid w:val="00103276"/>
    <w:rsid w:val="00110FFE"/>
    <w:rsid w:val="00124FCD"/>
    <w:rsid w:val="00142776"/>
    <w:rsid w:val="00150C8B"/>
    <w:rsid w:val="00151903"/>
    <w:rsid w:val="001559F5"/>
    <w:rsid w:val="00163756"/>
    <w:rsid w:val="00167724"/>
    <w:rsid w:val="00174A93"/>
    <w:rsid w:val="00175090"/>
    <w:rsid w:val="00175D50"/>
    <w:rsid w:val="00176C73"/>
    <w:rsid w:val="00182DC8"/>
    <w:rsid w:val="00186511"/>
    <w:rsid w:val="00187201"/>
    <w:rsid w:val="00196CA1"/>
    <w:rsid w:val="001A0076"/>
    <w:rsid w:val="001A20F6"/>
    <w:rsid w:val="001A2BF6"/>
    <w:rsid w:val="001A6989"/>
    <w:rsid w:val="001B11C3"/>
    <w:rsid w:val="001B6185"/>
    <w:rsid w:val="001C1758"/>
    <w:rsid w:val="001C4C9B"/>
    <w:rsid w:val="001C7B09"/>
    <w:rsid w:val="001D0A1F"/>
    <w:rsid w:val="001D18B1"/>
    <w:rsid w:val="001E29C0"/>
    <w:rsid w:val="001E4429"/>
    <w:rsid w:val="001E4A4A"/>
    <w:rsid w:val="001E6310"/>
    <w:rsid w:val="001F62F1"/>
    <w:rsid w:val="0021163E"/>
    <w:rsid w:val="002218EB"/>
    <w:rsid w:val="00224A60"/>
    <w:rsid w:val="00225A5A"/>
    <w:rsid w:val="00235745"/>
    <w:rsid w:val="00236805"/>
    <w:rsid w:val="00246B63"/>
    <w:rsid w:val="00246D40"/>
    <w:rsid w:val="00247929"/>
    <w:rsid w:val="00247C83"/>
    <w:rsid w:val="00250257"/>
    <w:rsid w:val="00254461"/>
    <w:rsid w:val="00254BD9"/>
    <w:rsid w:val="00263FA0"/>
    <w:rsid w:val="00264154"/>
    <w:rsid w:val="00265C64"/>
    <w:rsid w:val="00270F8E"/>
    <w:rsid w:val="002738D0"/>
    <w:rsid w:val="00276DEE"/>
    <w:rsid w:val="002812C8"/>
    <w:rsid w:val="00281920"/>
    <w:rsid w:val="002839C7"/>
    <w:rsid w:val="00286518"/>
    <w:rsid w:val="0029066E"/>
    <w:rsid w:val="0029129D"/>
    <w:rsid w:val="0029521D"/>
    <w:rsid w:val="00297512"/>
    <w:rsid w:val="002A48C6"/>
    <w:rsid w:val="002A60B5"/>
    <w:rsid w:val="002A6525"/>
    <w:rsid w:val="002B3FAE"/>
    <w:rsid w:val="002B7434"/>
    <w:rsid w:val="002C01E0"/>
    <w:rsid w:val="002C6126"/>
    <w:rsid w:val="002C6945"/>
    <w:rsid w:val="002C7890"/>
    <w:rsid w:val="002D0BE4"/>
    <w:rsid w:val="002D4632"/>
    <w:rsid w:val="002E02E2"/>
    <w:rsid w:val="002E70C5"/>
    <w:rsid w:val="002F28F8"/>
    <w:rsid w:val="002F4D17"/>
    <w:rsid w:val="002F6416"/>
    <w:rsid w:val="002F7FE4"/>
    <w:rsid w:val="00300FF6"/>
    <w:rsid w:val="0030180D"/>
    <w:rsid w:val="00303598"/>
    <w:rsid w:val="00304268"/>
    <w:rsid w:val="0030791F"/>
    <w:rsid w:val="0031022F"/>
    <w:rsid w:val="00310DE2"/>
    <w:rsid w:val="00311AA6"/>
    <w:rsid w:val="003235C5"/>
    <w:rsid w:val="00326176"/>
    <w:rsid w:val="0032713F"/>
    <w:rsid w:val="003329C0"/>
    <w:rsid w:val="00335C95"/>
    <w:rsid w:val="00336A18"/>
    <w:rsid w:val="00341011"/>
    <w:rsid w:val="0034185D"/>
    <w:rsid w:val="0034327A"/>
    <w:rsid w:val="00351974"/>
    <w:rsid w:val="00357264"/>
    <w:rsid w:val="003630F8"/>
    <w:rsid w:val="003713AD"/>
    <w:rsid w:val="00371E9C"/>
    <w:rsid w:val="00372318"/>
    <w:rsid w:val="00372CA5"/>
    <w:rsid w:val="00374FD7"/>
    <w:rsid w:val="003765B1"/>
    <w:rsid w:val="0039341A"/>
    <w:rsid w:val="003B0910"/>
    <w:rsid w:val="003B0E29"/>
    <w:rsid w:val="003B4A4A"/>
    <w:rsid w:val="003B4C5C"/>
    <w:rsid w:val="003B6D02"/>
    <w:rsid w:val="003C6084"/>
    <w:rsid w:val="003D0E4A"/>
    <w:rsid w:val="003D264C"/>
    <w:rsid w:val="003D2FF6"/>
    <w:rsid w:val="003E4BBA"/>
    <w:rsid w:val="003F65C5"/>
    <w:rsid w:val="003F6D0B"/>
    <w:rsid w:val="00400B5F"/>
    <w:rsid w:val="004037A5"/>
    <w:rsid w:val="00403E69"/>
    <w:rsid w:val="00405D59"/>
    <w:rsid w:val="00407E8D"/>
    <w:rsid w:val="00413432"/>
    <w:rsid w:val="00426482"/>
    <w:rsid w:val="00427A6C"/>
    <w:rsid w:val="00432FBD"/>
    <w:rsid w:val="0043370C"/>
    <w:rsid w:val="0043749D"/>
    <w:rsid w:val="00440084"/>
    <w:rsid w:val="00456800"/>
    <w:rsid w:val="00457FA5"/>
    <w:rsid w:val="004613DB"/>
    <w:rsid w:val="004650E1"/>
    <w:rsid w:val="00465F27"/>
    <w:rsid w:val="0047444F"/>
    <w:rsid w:val="004762FA"/>
    <w:rsid w:val="00476F1B"/>
    <w:rsid w:val="004771CF"/>
    <w:rsid w:val="00477E04"/>
    <w:rsid w:val="00486AFF"/>
    <w:rsid w:val="00490847"/>
    <w:rsid w:val="00492EE3"/>
    <w:rsid w:val="00493EFA"/>
    <w:rsid w:val="004A1E1E"/>
    <w:rsid w:val="004A2344"/>
    <w:rsid w:val="004A577E"/>
    <w:rsid w:val="004C2564"/>
    <w:rsid w:val="004C41E7"/>
    <w:rsid w:val="004C50CB"/>
    <w:rsid w:val="004D4A24"/>
    <w:rsid w:val="004E2030"/>
    <w:rsid w:val="004E7D24"/>
    <w:rsid w:val="0051069B"/>
    <w:rsid w:val="00511B88"/>
    <w:rsid w:val="00521B1E"/>
    <w:rsid w:val="00521B54"/>
    <w:rsid w:val="00522BE6"/>
    <w:rsid w:val="00524480"/>
    <w:rsid w:val="00525704"/>
    <w:rsid w:val="00526B2A"/>
    <w:rsid w:val="00527B87"/>
    <w:rsid w:val="005366D6"/>
    <w:rsid w:val="005831F9"/>
    <w:rsid w:val="005A1002"/>
    <w:rsid w:val="005A47C8"/>
    <w:rsid w:val="005B3293"/>
    <w:rsid w:val="005B5712"/>
    <w:rsid w:val="005C27D9"/>
    <w:rsid w:val="005C696A"/>
    <w:rsid w:val="005D0340"/>
    <w:rsid w:val="005E219C"/>
    <w:rsid w:val="005E3643"/>
    <w:rsid w:val="005F225E"/>
    <w:rsid w:val="005F71FD"/>
    <w:rsid w:val="006001F0"/>
    <w:rsid w:val="006069DC"/>
    <w:rsid w:val="0061580A"/>
    <w:rsid w:val="006171BE"/>
    <w:rsid w:val="00624500"/>
    <w:rsid w:val="00627664"/>
    <w:rsid w:val="006308AC"/>
    <w:rsid w:val="00636FF0"/>
    <w:rsid w:val="00650FAE"/>
    <w:rsid w:val="00651A92"/>
    <w:rsid w:val="00653D7C"/>
    <w:rsid w:val="00656BCF"/>
    <w:rsid w:val="00662229"/>
    <w:rsid w:val="00662768"/>
    <w:rsid w:val="00662BA1"/>
    <w:rsid w:val="006706B8"/>
    <w:rsid w:val="006729E2"/>
    <w:rsid w:val="00675ADA"/>
    <w:rsid w:val="00677639"/>
    <w:rsid w:val="0067799B"/>
    <w:rsid w:val="00693605"/>
    <w:rsid w:val="0069532D"/>
    <w:rsid w:val="006A3A0E"/>
    <w:rsid w:val="006A5585"/>
    <w:rsid w:val="006A78C9"/>
    <w:rsid w:val="006B0F38"/>
    <w:rsid w:val="006B2153"/>
    <w:rsid w:val="006B52E7"/>
    <w:rsid w:val="006B6CBF"/>
    <w:rsid w:val="006C1CFD"/>
    <w:rsid w:val="006D2CE7"/>
    <w:rsid w:val="006D5967"/>
    <w:rsid w:val="006D60F8"/>
    <w:rsid w:val="006E30B2"/>
    <w:rsid w:val="006E33A0"/>
    <w:rsid w:val="006E4E90"/>
    <w:rsid w:val="006E6971"/>
    <w:rsid w:val="006F0455"/>
    <w:rsid w:val="006F519B"/>
    <w:rsid w:val="006F5EBE"/>
    <w:rsid w:val="006F7704"/>
    <w:rsid w:val="00701E7F"/>
    <w:rsid w:val="00703691"/>
    <w:rsid w:val="00707030"/>
    <w:rsid w:val="007151D3"/>
    <w:rsid w:val="0071789E"/>
    <w:rsid w:val="00720016"/>
    <w:rsid w:val="00723B25"/>
    <w:rsid w:val="00723FFA"/>
    <w:rsid w:val="00730253"/>
    <w:rsid w:val="00730F44"/>
    <w:rsid w:val="0073583F"/>
    <w:rsid w:val="0074048B"/>
    <w:rsid w:val="00741E3A"/>
    <w:rsid w:val="0074446A"/>
    <w:rsid w:val="0074746B"/>
    <w:rsid w:val="00753442"/>
    <w:rsid w:val="007566FA"/>
    <w:rsid w:val="007675F4"/>
    <w:rsid w:val="00770750"/>
    <w:rsid w:val="00777C78"/>
    <w:rsid w:val="00780F33"/>
    <w:rsid w:val="0078678F"/>
    <w:rsid w:val="007B00C6"/>
    <w:rsid w:val="007C4C4E"/>
    <w:rsid w:val="007D599D"/>
    <w:rsid w:val="007E73C7"/>
    <w:rsid w:val="007F0101"/>
    <w:rsid w:val="008003FF"/>
    <w:rsid w:val="00800D1A"/>
    <w:rsid w:val="00805446"/>
    <w:rsid w:val="00807C79"/>
    <w:rsid w:val="00816B1C"/>
    <w:rsid w:val="008231EE"/>
    <w:rsid w:val="0082757A"/>
    <w:rsid w:val="0083024C"/>
    <w:rsid w:val="00830380"/>
    <w:rsid w:val="00843291"/>
    <w:rsid w:val="008455AF"/>
    <w:rsid w:val="00854EC9"/>
    <w:rsid w:val="008576F4"/>
    <w:rsid w:val="0086326C"/>
    <w:rsid w:val="0086390B"/>
    <w:rsid w:val="00864D5A"/>
    <w:rsid w:val="00865D3E"/>
    <w:rsid w:val="008708DB"/>
    <w:rsid w:val="008744CF"/>
    <w:rsid w:val="00874F97"/>
    <w:rsid w:val="008756A8"/>
    <w:rsid w:val="00876D0B"/>
    <w:rsid w:val="00883A53"/>
    <w:rsid w:val="0088494E"/>
    <w:rsid w:val="00890BA9"/>
    <w:rsid w:val="00893027"/>
    <w:rsid w:val="008A17A4"/>
    <w:rsid w:val="008A5A2C"/>
    <w:rsid w:val="008B21FD"/>
    <w:rsid w:val="008B4239"/>
    <w:rsid w:val="008B626E"/>
    <w:rsid w:val="008B7BBB"/>
    <w:rsid w:val="008C2CCD"/>
    <w:rsid w:val="008C359F"/>
    <w:rsid w:val="008C698D"/>
    <w:rsid w:val="008C7981"/>
    <w:rsid w:val="008D53F3"/>
    <w:rsid w:val="008D7DA1"/>
    <w:rsid w:val="00910251"/>
    <w:rsid w:val="00913300"/>
    <w:rsid w:val="0092336C"/>
    <w:rsid w:val="009253E2"/>
    <w:rsid w:val="00943408"/>
    <w:rsid w:val="0094342E"/>
    <w:rsid w:val="009438B0"/>
    <w:rsid w:val="00945319"/>
    <w:rsid w:val="00954EC4"/>
    <w:rsid w:val="00957582"/>
    <w:rsid w:val="00961039"/>
    <w:rsid w:val="0096177A"/>
    <w:rsid w:val="009619ED"/>
    <w:rsid w:val="00963FCE"/>
    <w:rsid w:val="009652D9"/>
    <w:rsid w:val="00966248"/>
    <w:rsid w:val="00967650"/>
    <w:rsid w:val="0097187A"/>
    <w:rsid w:val="00973A9D"/>
    <w:rsid w:val="00973AE6"/>
    <w:rsid w:val="0097459C"/>
    <w:rsid w:val="0097708F"/>
    <w:rsid w:val="00977545"/>
    <w:rsid w:val="009814A0"/>
    <w:rsid w:val="00991FCB"/>
    <w:rsid w:val="009925D5"/>
    <w:rsid w:val="00994FDA"/>
    <w:rsid w:val="009A2629"/>
    <w:rsid w:val="009A3E84"/>
    <w:rsid w:val="009A4AB5"/>
    <w:rsid w:val="009A597B"/>
    <w:rsid w:val="009A7F3D"/>
    <w:rsid w:val="009C07B2"/>
    <w:rsid w:val="009C1CBC"/>
    <w:rsid w:val="009D1047"/>
    <w:rsid w:val="009D158D"/>
    <w:rsid w:val="009D4922"/>
    <w:rsid w:val="009E30F5"/>
    <w:rsid w:val="009E4F83"/>
    <w:rsid w:val="009F0ABA"/>
    <w:rsid w:val="009F3F20"/>
    <w:rsid w:val="009F4C9F"/>
    <w:rsid w:val="009F5D84"/>
    <w:rsid w:val="00A0522B"/>
    <w:rsid w:val="00A06B9E"/>
    <w:rsid w:val="00A120AC"/>
    <w:rsid w:val="00A12D30"/>
    <w:rsid w:val="00A14FCC"/>
    <w:rsid w:val="00A16476"/>
    <w:rsid w:val="00A5596E"/>
    <w:rsid w:val="00A56536"/>
    <w:rsid w:val="00A606E0"/>
    <w:rsid w:val="00A70183"/>
    <w:rsid w:val="00A76E92"/>
    <w:rsid w:val="00A80A25"/>
    <w:rsid w:val="00A839CA"/>
    <w:rsid w:val="00A84E65"/>
    <w:rsid w:val="00A90F57"/>
    <w:rsid w:val="00A9106D"/>
    <w:rsid w:val="00A97179"/>
    <w:rsid w:val="00AA0758"/>
    <w:rsid w:val="00AA33E3"/>
    <w:rsid w:val="00AB2209"/>
    <w:rsid w:val="00AB276B"/>
    <w:rsid w:val="00AC2E71"/>
    <w:rsid w:val="00AC70A7"/>
    <w:rsid w:val="00AD305A"/>
    <w:rsid w:val="00AD3EBF"/>
    <w:rsid w:val="00AD6F8A"/>
    <w:rsid w:val="00AE0A20"/>
    <w:rsid w:val="00AE4803"/>
    <w:rsid w:val="00AF2364"/>
    <w:rsid w:val="00B0016E"/>
    <w:rsid w:val="00B01FD5"/>
    <w:rsid w:val="00B04289"/>
    <w:rsid w:val="00B05E0D"/>
    <w:rsid w:val="00B1197B"/>
    <w:rsid w:val="00B17201"/>
    <w:rsid w:val="00B17289"/>
    <w:rsid w:val="00B172A2"/>
    <w:rsid w:val="00B23C1C"/>
    <w:rsid w:val="00B23EF2"/>
    <w:rsid w:val="00B262AE"/>
    <w:rsid w:val="00B26D76"/>
    <w:rsid w:val="00B27C40"/>
    <w:rsid w:val="00B321E5"/>
    <w:rsid w:val="00B33984"/>
    <w:rsid w:val="00B35540"/>
    <w:rsid w:val="00B462BE"/>
    <w:rsid w:val="00B46FBE"/>
    <w:rsid w:val="00B608A7"/>
    <w:rsid w:val="00B614F6"/>
    <w:rsid w:val="00B8552E"/>
    <w:rsid w:val="00B9207B"/>
    <w:rsid w:val="00B93AF8"/>
    <w:rsid w:val="00B962B2"/>
    <w:rsid w:val="00B96DA2"/>
    <w:rsid w:val="00BA7BDB"/>
    <w:rsid w:val="00BB15BB"/>
    <w:rsid w:val="00BB317A"/>
    <w:rsid w:val="00BB3272"/>
    <w:rsid w:val="00BB616D"/>
    <w:rsid w:val="00BC3A12"/>
    <w:rsid w:val="00BC6BB9"/>
    <w:rsid w:val="00BC71D3"/>
    <w:rsid w:val="00BC778C"/>
    <w:rsid w:val="00BE11A5"/>
    <w:rsid w:val="00BE4777"/>
    <w:rsid w:val="00BF36D9"/>
    <w:rsid w:val="00C0175F"/>
    <w:rsid w:val="00C0721A"/>
    <w:rsid w:val="00C10418"/>
    <w:rsid w:val="00C121D2"/>
    <w:rsid w:val="00C17618"/>
    <w:rsid w:val="00C35916"/>
    <w:rsid w:val="00C36C1E"/>
    <w:rsid w:val="00C46D0B"/>
    <w:rsid w:val="00C4759C"/>
    <w:rsid w:val="00C51517"/>
    <w:rsid w:val="00C54D26"/>
    <w:rsid w:val="00C65C23"/>
    <w:rsid w:val="00C71FBC"/>
    <w:rsid w:val="00C73E1B"/>
    <w:rsid w:val="00C77F1E"/>
    <w:rsid w:val="00C82C97"/>
    <w:rsid w:val="00C83938"/>
    <w:rsid w:val="00C92265"/>
    <w:rsid w:val="00C97C23"/>
    <w:rsid w:val="00CA4E5B"/>
    <w:rsid w:val="00CB4342"/>
    <w:rsid w:val="00CB5F85"/>
    <w:rsid w:val="00CB63A5"/>
    <w:rsid w:val="00CB782F"/>
    <w:rsid w:val="00CC33BB"/>
    <w:rsid w:val="00CC5C5C"/>
    <w:rsid w:val="00CD103D"/>
    <w:rsid w:val="00CD33F8"/>
    <w:rsid w:val="00CD5DB3"/>
    <w:rsid w:val="00CE3ED2"/>
    <w:rsid w:val="00CF1E93"/>
    <w:rsid w:val="00CF2DC3"/>
    <w:rsid w:val="00CF7345"/>
    <w:rsid w:val="00D011AD"/>
    <w:rsid w:val="00D019FD"/>
    <w:rsid w:val="00D0576B"/>
    <w:rsid w:val="00D12FDC"/>
    <w:rsid w:val="00D20136"/>
    <w:rsid w:val="00D25012"/>
    <w:rsid w:val="00D3112C"/>
    <w:rsid w:val="00D40C8D"/>
    <w:rsid w:val="00D4183F"/>
    <w:rsid w:val="00D45ADD"/>
    <w:rsid w:val="00D4603F"/>
    <w:rsid w:val="00D61B7D"/>
    <w:rsid w:val="00D7087E"/>
    <w:rsid w:val="00D925B6"/>
    <w:rsid w:val="00D93848"/>
    <w:rsid w:val="00D93BAB"/>
    <w:rsid w:val="00D97887"/>
    <w:rsid w:val="00DA20E1"/>
    <w:rsid w:val="00DA4378"/>
    <w:rsid w:val="00DA4FAE"/>
    <w:rsid w:val="00DB62E4"/>
    <w:rsid w:val="00DC25D9"/>
    <w:rsid w:val="00DD4DFB"/>
    <w:rsid w:val="00DD5545"/>
    <w:rsid w:val="00DE4632"/>
    <w:rsid w:val="00DE4A96"/>
    <w:rsid w:val="00DE7639"/>
    <w:rsid w:val="00DF5FA1"/>
    <w:rsid w:val="00DF729B"/>
    <w:rsid w:val="00E000EC"/>
    <w:rsid w:val="00E05906"/>
    <w:rsid w:val="00E06793"/>
    <w:rsid w:val="00E15B01"/>
    <w:rsid w:val="00E15C03"/>
    <w:rsid w:val="00E15EEC"/>
    <w:rsid w:val="00E17ABF"/>
    <w:rsid w:val="00E27AC8"/>
    <w:rsid w:val="00E36417"/>
    <w:rsid w:val="00E419D0"/>
    <w:rsid w:val="00E429FB"/>
    <w:rsid w:val="00E44945"/>
    <w:rsid w:val="00E57DEB"/>
    <w:rsid w:val="00E61B5E"/>
    <w:rsid w:val="00E63307"/>
    <w:rsid w:val="00E643C6"/>
    <w:rsid w:val="00E65F2A"/>
    <w:rsid w:val="00E75AF0"/>
    <w:rsid w:val="00E76106"/>
    <w:rsid w:val="00E86100"/>
    <w:rsid w:val="00E93C10"/>
    <w:rsid w:val="00E951E9"/>
    <w:rsid w:val="00E95A36"/>
    <w:rsid w:val="00E976EB"/>
    <w:rsid w:val="00EA2986"/>
    <w:rsid w:val="00EA3150"/>
    <w:rsid w:val="00EA6DF6"/>
    <w:rsid w:val="00EB07A5"/>
    <w:rsid w:val="00EB29E5"/>
    <w:rsid w:val="00EB6F22"/>
    <w:rsid w:val="00EC1C09"/>
    <w:rsid w:val="00EC6394"/>
    <w:rsid w:val="00ED0786"/>
    <w:rsid w:val="00ED4B9F"/>
    <w:rsid w:val="00ED534D"/>
    <w:rsid w:val="00ED68D5"/>
    <w:rsid w:val="00ED6EFE"/>
    <w:rsid w:val="00EE31CA"/>
    <w:rsid w:val="00EE4952"/>
    <w:rsid w:val="00EE7DB6"/>
    <w:rsid w:val="00EF3895"/>
    <w:rsid w:val="00EF5D12"/>
    <w:rsid w:val="00EF77FA"/>
    <w:rsid w:val="00F031F6"/>
    <w:rsid w:val="00F04E46"/>
    <w:rsid w:val="00F14AFA"/>
    <w:rsid w:val="00F17E0F"/>
    <w:rsid w:val="00F24B3F"/>
    <w:rsid w:val="00F2767B"/>
    <w:rsid w:val="00F314A8"/>
    <w:rsid w:val="00F47596"/>
    <w:rsid w:val="00F51105"/>
    <w:rsid w:val="00F5269F"/>
    <w:rsid w:val="00F53855"/>
    <w:rsid w:val="00F57656"/>
    <w:rsid w:val="00F60CD4"/>
    <w:rsid w:val="00F657BE"/>
    <w:rsid w:val="00F72101"/>
    <w:rsid w:val="00F74339"/>
    <w:rsid w:val="00F7533B"/>
    <w:rsid w:val="00F77555"/>
    <w:rsid w:val="00F835C7"/>
    <w:rsid w:val="00F90AAC"/>
    <w:rsid w:val="00F93064"/>
    <w:rsid w:val="00FA32BC"/>
    <w:rsid w:val="00FA33DF"/>
    <w:rsid w:val="00FA68A3"/>
    <w:rsid w:val="00FA7AA8"/>
    <w:rsid w:val="00FB12DD"/>
    <w:rsid w:val="00FC35F8"/>
    <w:rsid w:val="00FC3D5B"/>
    <w:rsid w:val="00FC5E8E"/>
    <w:rsid w:val="00FD1945"/>
    <w:rsid w:val="00FD1988"/>
    <w:rsid w:val="00FD5CB0"/>
    <w:rsid w:val="00FE0FB9"/>
    <w:rsid w:val="00FE1156"/>
    <w:rsid w:val="00FE2162"/>
    <w:rsid w:val="00FF2284"/>
    <w:rsid w:val="00FF2668"/>
    <w:rsid w:val="00FF2CB9"/>
    <w:rsid w:val="00FF35FA"/>
    <w:rsid w:val="00FF77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C7"/>
    <w:pPr>
      <w:tabs>
        <w:tab w:val="left" w:pos="1440"/>
        <w:tab w:val="center" w:pos="4320"/>
        <w:tab w:val="right" w:pos="9072"/>
      </w:tabs>
      <w:snapToGrid w:val="0"/>
    </w:pPr>
    <w:rPr>
      <w:sz w:val="28"/>
      <w:lang w:val="en-GB"/>
    </w:rPr>
  </w:style>
  <w:style w:type="paragraph" w:styleId="Heading1">
    <w:name w:val="heading 1"/>
    <w:basedOn w:val="Normal"/>
    <w:next w:val="Normal"/>
    <w:link w:val="Heading1Char"/>
    <w:qFormat/>
    <w:rsid w:val="002839C7"/>
    <w:pPr>
      <w:keepNext/>
      <w:outlineLvl w:val="0"/>
    </w:pPr>
    <w:rPr>
      <w:i/>
      <w:iCs/>
    </w:rPr>
  </w:style>
  <w:style w:type="paragraph" w:styleId="Heading2">
    <w:name w:val="heading 2"/>
    <w:basedOn w:val="Normal"/>
    <w:next w:val="Normal"/>
    <w:qFormat/>
    <w:rsid w:val="002839C7"/>
    <w:pPr>
      <w:keepNext/>
      <w:snapToGrid/>
      <w:outlineLvl w:val="1"/>
    </w:pPr>
    <w:rPr>
      <w:b/>
      <w:bCs/>
      <w:sz w:val="20"/>
      <w:szCs w:val="24"/>
    </w:rPr>
  </w:style>
  <w:style w:type="paragraph" w:styleId="Heading3">
    <w:name w:val="heading 3"/>
    <w:basedOn w:val="Normal"/>
    <w:next w:val="Normal"/>
    <w:qFormat/>
    <w:rsid w:val="002839C7"/>
    <w:pPr>
      <w:keepNext/>
      <w:snapToGrid/>
      <w:jc w:val="center"/>
      <w:outlineLvl w:val="2"/>
    </w:pPr>
    <w:rPr>
      <w:b/>
      <w:bCs/>
      <w:sz w:val="20"/>
      <w:szCs w:val="24"/>
    </w:rPr>
  </w:style>
  <w:style w:type="paragraph" w:styleId="Heading4">
    <w:name w:val="heading 4"/>
    <w:basedOn w:val="Normal"/>
    <w:next w:val="Normal"/>
    <w:qFormat/>
    <w:rsid w:val="002839C7"/>
    <w:pPr>
      <w:keepNext/>
      <w:tabs>
        <w:tab w:val="clear" w:pos="4320"/>
        <w:tab w:val="clear" w:pos="9072"/>
      </w:tabs>
      <w:snapToGrid/>
      <w:spacing w:line="480" w:lineRule="auto"/>
      <w:outlineLvl w:val="3"/>
    </w:pPr>
    <w:rPr>
      <w:rFonts w:eastAsia="PMingLiU"/>
      <w:b/>
      <w:bCs/>
      <w:spacing w:val="20"/>
      <w:u w:val="single"/>
      <w:lang w:eastAsia="zh-TW"/>
    </w:rPr>
  </w:style>
  <w:style w:type="paragraph" w:styleId="Heading5">
    <w:name w:val="heading 5"/>
    <w:basedOn w:val="Normal"/>
    <w:next w:val="Normal"/>
    <w:qFormat/>
    <w:rsid w:val="002839C7"/>
    <w:pPr>
      <w:keepNext/>
      <w:tabs>
        <w:tab w:val="clear" w:pos="4320"/>
        <w:tab w:val="clear" w:pos="9072"/>
      </w:tabs>
      <w:spacing w:before="480" w:line="480" w:lineRule="auto"/>
      <w:jc w:val="both"/>
      <w:outlineLvl w:val="4"/>
    </w:pPr>
    <w:rPr>
      <w:rFonts w:eastAsia="PMingLiU"/>
      <w:b/>
      <w:bCs/>
      <w:spacing w:val="20"/>
      <w:u w:val="single"/>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7664"/>
    <w:rPr>
      <w:i/>
      <w:iCs/>
      <w:sz w:val="28"/>
      <w:lang w:val="en-GB"/>
    </w:rPr>
  </w:style>
  <w:style w:type="paragraph" w:styleId="Header">
    <w:name w:val="header"/>
    <w:basedOn w:val="Normal"/>
    <w:link w:val="HeaderChar"/>
    <w:rsid w:val="002839C7"/>
    <w:pPr>
      <w:tabs>
        <w:tab w:val="center" w:pos="4153"/>
        <w:tab w:val="right" w:pos="8306"/>
      </w:tabs>
      <w:jc w:val="center"/>
    </w:pPr>
    <w:rPr>
      <w:sz w:val="18"/>
    </w:rPr>
  </w:style>
  <w:style w:type="character" w:customStyle="1" w:styleId="HeaderChar">
    <w:name w:val="Header Char"/>
    <w:basedOn w:val="DefaultParagraphFont"/>
    <w:link w:val="Header"/>
    <w:rsid w:val="00F93064"/>
    <w:rPr>
      <w:sz w:val="18"/>
      <w:lang w:val="en-GB"/>
    </w:rPr>
  </w:style>
  <w:style w:type="paragraph" w:customStyle="1" w:styleId="altd">
    <w:name w:val="altd"/>
    <w:basedOn w:val="Normal"/>
    <w:rsid w:val="002839C7"/>
    <w:pPr>
      <w:tabs>
        <w:tab w:val="clear" w:pos="1440"/>
        <w:tab w:val="left" w:pos="1418"/>
        <w:tab w:val="left" w:pos="2268"/>
        <w:tab w:val="left" w:pos="3119"/>
      </w:tabs>
      <w:overflowPunct w:val="0"/>
      <w:autoSpaceDE w:val="0"/>
      <w:autoSpaceDN w:val="0"/>
      <w:spacing w:before="600" w:line="600" w:lineRule="exact"/>
      <w:ind w:firstLine="1411"/>
    </w:pPr>
    <w:rPr>
      <w:rFonts w:eastAsia="MingLiU"/>
    </w:rPr>
  </w:style>
  <w:style w:type="paragraph" w:customStyle="1" w:styleId="normal1">
    <w:name w:val="normal1"/>
    <w:basedOn w:val="Normal"/>
    <w:rsid w:val="002839C7"/>
    <w:pPr>
      <w:tabs>
        <w:tab w:val="left" w:pos="1411"/>
      </w:tabs>
      <w:overflowPunct w:val="0"/>
      <w:autoSpaceDE w:val="0"/>
      <w:autoSpaceDN w:val="0"/>
      <w:spacing w:line="360" w:lineRule="auto"/>
      <w:jc w:val="center"/>
    </w:pPr>
    <w:rPr>
      <w:rFonts w:eastAsia="MingLiU"/>
      <w:b/>
      <w:caps/>
    </w:rPr>
  </w:style>
  <w:style w:type="paragraph" w:customStyle="1" w:styleId="normal2">
    <w:name w:val="normal2"/>
    <w:basedOn w:val="normal1"/>
    <w:rsid w:val="002839C7"/>
    <w:rPr>
      <w:b w:val="0"/>
    </w:rPr>
  </w:style>
  <w:style w:type="paragraph" w:customStyle="1" w:styleId="normal3">
    <w:name w:val="normal3"/>
    <w:basedOn w:val="Normal"/>
    <w:rsid w:val="002839C7"/>
    <w:pPr>
      <w:tabs>
        <w:tab w:val="center" w:pos="4500"/>
        <w:tab w:val="right" w:pos="9000"/>
      </w:tabs>
      <w:overflowPunct w:val="0"/>
      <w:autoSpaceDE w:val="0"/>
      <w:autoSpaceDN w:val="0"/>
      <w:spacing w:line="360" w:lineRule="auto"/>
    </w:pPr>
    <w:rPr>
      <w:rFonts w:eastAsia="MingLiU"/>
    </w:rPr>
  </w:style>
  <w:style w:type="paragraph" w:customStyle="1" w:styleId="normal4">
    <w:name w:val="normal4"/>
    <w:basedOn w:val="normal1"/>
    <w:next w:val="normal1"/>
    <w:rsid w:val="002839C7"/>
    <w:pPr>
      <w:spacing w:line="240" w:lineRule="auto"/>
      <w:jc w:val="right"/>
    </w:pPr>
    <w:rPr>
      <w:b w:val="0"/>
    </w:rPr>
  </w:style>
  <w:style w:type="paragraph" w:styleId="Footer">
    <w:name w:val="footer"/>
    <w:basedOn w:val="Normal"/>
    <w:link w:val="FooterChar"/>
    <w:uiPriority w:val="99"/>
    <w:rsid w:val="002839C7"/>
    <w:pPr>
      <w:tabs>
        <w:tab w:val="center" w:pos="4153"/>
        <w:tab w:val="right" w:pos="8306"/>
      </w:tabs>
    </w:pPr>
    <w:rPr>
      <w:sz w:val="20"/>
    </w:rPr>
  </w:style>
  <w:style w:type="character" w:customStyle="1" w:styleId="FooterChar">
    <w:name w:val="Footer Char"/>
    <w:basedOn w:val="DefaultParagraphFont"/>
    <w:link w:val="Footer"/>
    <w:uiPriority w:val="99"/>
    <w:rsid w:val="00F74339"/>
    <w:rPr>
      <w:lang w:val="en-GB"/>
    </w:rPr>
  </w:style>
  <w:style w:type="character" w:styleId="PageNumber">
    <w:name w:val="page number"/>
    <w:basedOn w:val="DefaultParagraphFont"/>
    <w:semiHidden/>
    <w:rsid w:val="002839C7"/>
  </w:style>
  <w:style w:type="paragraph" w:customStyle="1" w:styleId="Draft">
    <w:name w:val="Draft"/>
    <w:basedOn w:val="Normal"/>
    <w:rsid w:val="002839C7"/>
    <w:pPr>
      <w:spacing w:line="600" w:lineRule="exact"/>
    </w:pPr>
  </w:style>
  <w:style w:type="paragraph" w:customStyle="1" w:styleId="Final">
    <w:name w:val="Final"/>
    <w:basedOn w:val="Draft"/>
    <w:qFormat/>
    <w:rsid w:val="002839C7"/>
    <w:pPr>
      <w:spacing w:line="360" w:lineRule="auto"/>
    </w:pPr>
  </w:style>
  <w:style w:type="paragraph" w:customStyle="1" w:styleId="Quotation">
    <w:name w:val="Quotation"/>
    <w:basedOn w:val="Normal"/>
    <w:rsid w:val="002839C7"/>
    <w:pPr>
      <w:tabs>
        <w:tab w:val="left" w:pos="1872"/>
        <w:tab w:val="left" w:pos="2304"/>
      </w:tabs>
      <w:spacing w:before="240"/>
      <w:ind w:left="1440" w:right="720"/>
    </w:pPr>
    <w:rPr>
      <w:kern w:val="2"/>
      <w:sz w:val="24"/>
    </w:rPr>
  </w:style>
  <w:style w:type="paragraph" w:customStyle="1" w:styleId="Hanging">
    <w:name w:val="Hanging"/>
    <w:basedOn w:val="Normal"/>
    <w:rsid w:val="002839C7"/>
    <w:pPr>
      <w:snapToGrid/>
      <w:spacing w:before="120" w:line="440" w:lineRule="exact"/>
      <w:ind w:left="1440" w:hanging="720"/>
    </w:pPr>
    <w:rPr>
      <w:kern w:val="2"/>
    </w:rPr>
  </w:style>
  <w:style w:type="paragraph" w:customStyle="1" w:styleId="hspace">
    <w:name w:val="hspace"/>
    <w:basedOn w:val="Normal"/>
    <w:rsid w:val="002839C7"/>
    <w:pPr>
      <w:spacing w:line="200" w:lineRule="exact"/>
    </w:pPr>
  </w:style>
  <w:style w:type="paragraph" w:customStyle="1" w:styleId="Indent">
    <w:name w:val="Indent"/>
    <w:basedOn w:val="Normal"/>
    <w:rsid w:val="002839C7"/>
    <w:pPr>
      <w:tabs>
        <w:tab w:val="left" w:pos="2016"/>
      </w:tabs>
      <w:spacing w:before="240"/>
      <w:ind w:left="1440" w:right="576"/>
    </w:pPr>
  </w:style>
  <w:style w:type="paragraph" w:customStyle="1" w:styleId="Normal10">
    <w:name w:val="Normal1"/>
    <w:basedOn w:val="Normal"/>
    <w:rsid w:val="002839C7"/>
    <w:pPr>
      <w:tabs>
        <w:tab w:val="clear" w:pos="9072"/>
        <w:tab w:val="right" w:pos="8928"/>
      </w:tabs>
      <w:adjustRightInd w:val="0"/>
      <w:textAlignment w:val="baseline"/>
    </w:pPr>
    <w:rPr>
      <w:rFonts w:eastAsia="華康細明體"/>
    </w:rPr>
  </w:style>
  <w:style w:type="paragraph" w:customStyle="1" w:styleId="Normal40">
    <w:name w:val="Normal4"/>
    <w:basedOn w:val="Normal"/>
    <w:rsid w:val="002839C7"/>
    <w:pPr>
      <w:tabs>
        <w:tab w:val="clear" w:pos="9072"/>
        <w:tab w:val="right" w:pos="8928"/>
      </w:tabs>
      <w:adjustRightInd w:val="0"/>
      <w:spacing w:line="160" w:lineRule="exact"/>
      <w:textAlignment w:val="baseline"/>
    </w:pPr>
    <w:rPr>
      <w:rFonts w:eastAsia="PMingLiU"/>
    </w:rPr>
  </w:style>
  <w:style w:type="paragraph" w:customStyle="1" w:styleId="Stone">
    <w:name w:val="Stone"/>
    <w:basedOn w:val="Normal"/>
    <w:rsid w:val="002839C7"/>
    <w:pPr>
      <w:spacing w:line="500" w:lineRule="exact"/>
    </w:pPr>
  </w:style>
  <w:style w:type="paragraph" w:styleId="BodyText">
    <w:name w:val="Body Text"/>
    <w:basedOn w:val="Normal"/>
    <w:semiHidden/>
    <w:rsid w:val="002839C7"/>
    <w:pPr>
      <w:tabs>
        <w:tab w:val="clear" w:pos="1440"/>
        <w:tab w:val="clear" w:pos="4320"/>
        <w:tab w:val="clear" w:pos="9072"/>
      </w:tabs>
      <w:snapToGrid/>
    </w:pPr>
    <w:rPr>
      <w:rFonts w:ascii="Verdana" w:eastAsia="Times New Roman" w:hAnsi="Verdana"/>
      <w:szCs w:val="24"/>
      <w:lang w:val="en-US" w:eastAsia="en-US"/>
    </w:rPr>
  </w:style>
  <w:style w:type="paragraph" w:styleId="NormalWeb">
    <w:name w:val="Normal (Web)"/>
    <w:basedOn w:val="Normal"/>
    <w:uiPriority w:val="99"/>
    <w:semiHidden/>
    <w:rsid w:val="002839C7"/>
    <w:pPr>
      <w:tabs>
        <w:tab w:val="clear" w:pos="1440"/>
        <w:tab w:val="clear" w:pos="4320"/>
        <w:tab w:val="clear" w:pos="9072"/>
      </w:tabs>
      <w:snapToGrid/>
      <w:spacing w:before="100" w:beforeAutospacing="1" w:after="100" w:afterAutospacing="1"/>
    </w:pPr>
    <w:rPr>
      <w:rFonts w:ascii="Arial Unicode MS" w:eastAsia="Arial Unicode MS" w:hAnsi="Arial Unicode MS" w:cs="Arial Unicode MS"/>
      <w:sz w:val="24"/>
      <w:szCs w:val="24"/>
      <w:lang w:val="en-US" w:eastAsia="en-US"/>
    </w:rPr>
  </w:style>
  <w:style w:type="character" w:styleId="Strong">
    <w:name w:val="Strong"/>
    <w:basedOn w:val="DefaultParagraphFont"/>
    <w:qFormat/>
    <w:rsid w:val="002839C7"/>
    <w:rPr>
      <w:b/>
      <w:bCs/>
    </w:rPr>
  </w:style>
  <w:style w:type="character" w:styleId="Emphasis">
    <w:name w:val="Emphasis"/>
    <w:basedOn w:val="DefaultParagraphFont"/>
    <w:qFormat/>
    <w:rsid w:val="002839C7"/>
    <w:rPr>
      <w:i/>
      <w:iCs/>
    </w:rPr>
  </w:style>
  <w:style w:type="paragraph" w:customStyle="1" w:styleId="quoting">
    <w:name w:val="quoting"/>
    <w:basedOn w:val="Normal"/>
    <w:rsid w:val="002839C7"/>
    <w:pPr>
      <w:tabs>
        <w:tab w:val="clear" w:pos="4320"/>
        <w:tab w:val="clear" w:pos="9072"/>
      </w:tabs>
      <w:overflowPunct w:val="0"/>
      <w:autoSpaceDE w:val="0"/>
      <w:autoSpaceDN w:val="0"/>
      <w:adjustRightInd w:val="0"/>
      <w:snapToGrid/>
      <w:ind w:left="1418" w:right="737" w:hanging="720"/>
      <w:jc w:val="both"/>
      <w:textAlignment w:val="baseline"/>
    </w:pPr>
    <w:rPr>
      <w:rFonts w:eastAsia="PMingLiU"/>
      <w:sz w:val="24"/>
      <w:lang w:val="en-US"/>
    </w:rPr>
  </w:style>
  <w:style w:type="paragraph" w:customStyle="1" w:styleId="othersinciting">
    <w:name w:val="others in citing"/>
    <w:basedOn w:val="Normal"/>
    <w:rsid w:val="002839C7"/>
    <w:pPr>
      <w:tabs>
        <w:tab w:val="clear" w:pos="4320"/>
        <w:tab w:val="clear" w:pos="9072"/>
      </w:tabs>
      <w:overflowPunct w:val="0"/>
      <w:autoSpaceDE w:val="0"/>
      <w:autoSpaceDN w:val="0"/>
      <w:adjustRightInd w:val="0"/>
      <w:snapToGrid/>
      <w:spacing w:line="360" w:lineRule="auto"/>
      <w:ind w:left="1440" w:hanging="720"/>
      <w:jc w:val="both"/>
      <w:textAlignment w:val="baseline"/>
    </w:pPr>
    <w:rPr>
      <w:rFonts w:eastAsia="PMingLiU"/>
      <w:lang w:val="en-US"/>
    </w:rPr>
  </w:style>
  <w:style w:type="paragraph" w:customStyle="1" w:styleId="Style1">
    <w:name w:val="Style1"/>
    <w:basedOn w:val="Normal"/>
    <w:rsid w:val="002839C7"/>
    <w:pPr>
      <w:numPr>
        <w:numId w:val="1"/>
      </w:numPr>
      <w:tabs>
        <w:tab w:val="clear" w:pos="1440"/>
        <w:tab w:val="clear" w:pos="4320"/>
        <w:tab w:val="clear" w:pos="9072"/>
        <w:tab w:val="left" w:pos="1361"/>
      </w:tabs>
      <w:topLinePunct/>
      <w:autoSpaceDE w:val="0"/>
      <w:autoSpaceDN w:val="0"/>
      <w:snapToGrid/>
      <w:spacing w:line="480" w:lineRule="auto"/>
      <w:jc w:val="both"/>
    </w:pPr>
    <w:rPr>
      <w:rFonts w:eastAsia="MingLiU"/>
      <w:spacing w:val="20"/>
      <w:kern w:val="28"/>
      <w:position w:val="2"/>
    </w:rPr>
  </w:style>
  <w:style w:type="paragraph" w:customStyle="1" w:styleId="para">
    <w:name w:val="para"/>
    <w:rsid w:val="00F93064"/>
    <w:pPr>
      <w:numPr>
        <w:numId w:val="2"/>
      </w:numPr>
      <w:snapToGrid w:val="0"/>
      <w:spacing w:before="480" w:line="360" w:lineRule="auto"/>
      <w:jc w:val="both"/>
    </w:pPr>
    <w:rPr>
      <w:sz w:val="28"/>
      <w:lang w:val="en-GB"/>
    </w:rPr>
  </w:style>
  <w:style w:type="paragraph" w:styleId="BodyTextIndent2">
    <w:name w:val="Body Text Indent 2"/>
    <w:basedOn w:val="Normal"/>
    <w:link w:val="BodyTextIndent2Char"/>
    <w:uiPriority w:val="99"/>
    <w:unhideWhenUsed/>
    <w:rsid w:val="00F93064"/>
    <w:pPr>
      <w:widowControl w:val="0"/>
      <w:tabs>
        <w:tab w:val="clear" w:pos="1440"/>
        <w:tab w:val="clear" w:pos="4320"/>
        <w:tab w:val="clear" w:pos="9072"/>
      </w:tabs>
      <w:snapToGrid/>
      <w:spacing w:after="120" w:line="480" w:lineRule="auto"/>
      <w:ind w:left="360"/>
      <w:jc w:val="both"/>
    </w:pPr>
    <w:rPr>
      <w:kern w:val="2"/>
      <w:sz w:val="21"/>
      <w:lang w:val="en-US"/>
    </w:rPr>
  </w:style>
  <w:style w:type="character" w:customStyle="1" w:styleId="BodyTextIndent2Char">
    <w:name w:val="Body Text Indent 2 Char"/>
    <w:basedOn w:val="DefaultParagraphFont"/>
    <w:link w:val="BodyTextIndent2"/>
    <w:uiPriority w:val="99"/>
    <w:rsid w:val="00F93064"/>
    <w:rPr>
      <w:kern w:val="2"/>
      <w:sz w:val="21"/>
    </w:rPr>
  </w:style>
  <w:style w:type="paragraph" w:styleId="BodyTextIndent3">
    <w:name w:val="Body Text Indent 3"/>
    <w:basedOn w:val="Normal"/>
    <w:link w:val="BodyTextIndent3Char"/>
    <w:uiPriority w:val="99"/>
    <w:semiHidden/>
    <w:unhideWhenUsed/>
    <w:rsid w:val="00F93064"/>
    <w:pPr>
      <w:widowControl w:val="0"/>
      <w:tabs>
        <w:tab w:val="clear" w:pos="1440"/>
        <w:tab w:val="clear" w:pos="4320"/>
        <w:tab w:val="clear" w:pos="9072"/>
      </w:tabs>
      <w:snapToGrid/>
      <w:spacing w:after="120"/>
      <w:ind w:left="360"/>
      <w:jc w:val="both"/>
    </w:pPr>
    <w:rPr>
      <w:kern w:val="2"/>
      <w:sz w:val="16"/>
      <w:szCs w:val="16"/>
      <w:lang w:val="en-US"/>
    </w:rPr>
  </w:style>
  <w:style w:type="character" w:customStyle="1" w:styleId="BodyTextIndent3Char">
    <w:name w:val="Body Text Indent 3 Char"/>
    <w:basedOn w:val="DefaultParagraphFont"/>
    <w:link w:val="BodyTextIndent3"/>
    <w:uiPriority w:val="99"/>
    <w:semiHidden/>
    <w:rsid w:val="00F93064"/>
    <w:rPr>
      <w:kern w:val="2"/>
      <w:sz w:val="16"/>
      <w:szCs w:val="16"/>
    </w:rPr>
  </w:style>
  <w:style w:type="paragraph" w:styleId="ListParagraph">
    <w:name w:val="List Paragraph"/>
    <w:basedOn w:val="Normal"/>
    <w:uiPriority w:val="34"/>
    <w:qFormat/>
    <w:rsid w:val="00F93064"/>
    <w:pPr>
      <w:ind w:left="720"/>
      <w:contextualSpacing/>
    </w:pPr>
  </w:style>
  <w:style w:type="paragraph" w:styleId="BalloonText">
    <w:name w:val="Balloon Text"/>
    <w:basedOn w:val="Normal"/>
    <w:link w:val="BalloonTextChar"/>
    <w:uiPriority w:val="99"/>
    <w:semiHidden/>
    <w:unhideWhenUsed/>
    <w:rsid w:val="00957582"/>
    <w:rPr>
      <w:rFonts w:ascii="Tahoma" w:hAnsi="Tahoma" w:cs="Tahoma"/>
      <w:sz w:val="16"/>
      <w:szCs w:val="16"/>
    </w:rPr>
  </w:style>
  <w:style w:type="character" w:customStyle="1" w:styleId="BalloonTextChar">
    <w:name w:val="Balloon Text Char"/>
    <w:basedOn w:val="DefaultParagraphFont"/>
    <w:link w:val="BalloonText"/>
    <w:uiPriority w:val="99"/>
    <w:semiHidden/>
    <w:rsid w:val="00957582"/>
    <w:rPr>
      <w:rFonts w:ascii="Tahoma" w:hAnsi="Tahoma" w:cs="Tahoma"/>
      <w:sz w:val="16"/>
      <w:szCs w:val="16"/>
      <w:lang w:val="en-GB"/>
    </w:rPr>
  </w:style>
  <w:style w:type="paragraph" w:styleId="FootnoteText">
    <w:name w:val="footnote text"/>
    <w:basedOn w:val="Normal"/>
    <w:link w:val="FootnoteTextChar"/>
    <w:uiPriority w:val="99"/>
    <w:unhideWhenUsed/>
    <w:rsid w:val="00EB29E5"/>
    <w:pPr>
      <w:tabs>
        <w:tab w:val="clear" w:pos="1440"/>
        <w:tab w:val="clear" w:pos="4320"/>
        <w:tab w:val="clear" w:pos="9072"/>
      </w:tabs>
      <w:snapToGrid/>
      <w:spacing w:after="200" w:line="276" w:lineRule="auto"/>
    </w:pPr>
    <w:rPr>
      <w:sz w:val="20"/>
    </w:rPr>
  </w:style>
  <w:style w:type="character" w:customStyle="1" w:styleId="FootnoteTextChar">
    <w:name w:val="Footnote Text Char"/>
    <w:basedOn w:val="DefaultParagraphFont"/>
    <w:link w:val="FootnoteText"/>
    <w:uiPriority w:val="99"/>
    <w:rsid w:val="00EB29E5"/>
    <w:rPr>
      <w:lang w:val="en-GB"/>
    </w:rPr>
  </w:style>
  <w:style w:type="character" w:styleId="FootnoteReference">
    <w:name w:val="footnote reference"/>
    <w:basedOn w:val="DefaultParagraphFont"/>
    <w:uiPriority w:val="99"/>
    <w:semiHidden/>
    <w:unhideWhenUsed/>
    <w:rsid w:val="00EB29E5"/>
    <w:rPr>
      <w:vertAlign w:val="superscript"/>
    </w:rPr>
  </w:style>
  <w:style w:type="character" w:customStyle="1" w:styleId="BodyText3Char">
    <w:name w:val="Body Text 3 Char"/>
    <w:basedOn w:val="DefaultParagraphFont"/>
    <w:link w:val="BodyText3"/>
    <w:semiHidden/>
    <w:rsid w:val="00EB29E5"/>
    <w:rPr>
      <w:rFonts w:eastAsia="Times New Roman"/>
      <w:b/>
      <w:i/>
      <w:sz w:val="24"/>
      <w:lang w:eastAsia="en-US"/>
    </w:rPr>
  </w:style>
  <w:style w:type="paragraph" w:styleId="BodyText3">
    <w:name w:val="Body Text 3"/>
    <w:basedOn w:val="Normal"/>
    <w:link w:val="BodyText3Char"/>
    <w:semiHidden/>
    <w:unhideWhenUsed/>
    <w:rsid w:val="00EB29E5"/>
    <w:pPr>
      <w:tabs>
        <w:tab w:val="clear" w:pos="1440"/>
        <w:tab w:val="clear" w:pos="4320"/>
        <w:tab w:val="clear" w:pos="9072"/>
      </w:tabs>
      <w:snapToGrid/>
      <w:spacing w:line="360" w:lineRule="auto"/>
      <w:jc w:val="both"/>
    </w:pPr>
    <w:rPr>
      <w:rFonts w:eastAsia="Times New Roman"/>
      <w:b/>
      <w:i/>
      <w:sz w:val="24"/>
      <w:lang w:val="en-US" w:eastAsia="en-US"/>
    </w:rPr>
  </w:style>
  <w:style w:type="paragraph" w:customStyle="1" w:styleId="NormalCon">
    <w:name w:val="Normal (Con)"/>
    <w:basedOn w:val="Normal"/>
    <w:rsid w:val="00EB29E5"/>
    <w:pPr>
      <w:tabs>
        <w:tab w:val="clear" w:pos="4320"/>
        <w:tab w:val="clear" w:pos="9072"/>
      </w:tabs>
      <w:adjustRightInd w:val="0"/>
      <w:jc w:val="both"/>
    </w:pPr>
    <w:rPr>
      <w:rFonts w:ascii="MingLiU" w:hAnsi="MingLiU"/>
    </w:rPr>
  </w:style>
  <w:style w:type="character" w:customStyle="1" w:styleId="EndnoteTextChar">
    <w:name w:val="Endnote Text Char"/>
    <w:basedOn w:val="DefaultParagraphFont"/>
    <w:link w:val="EndnoteText"/>
    <w:uiPriority w:val="99"/>
    <w:semiHidden/>
    <w:rsid w:val="00EB29E5"/>
    <w:rPr>
      <w:lang w:val="en-GB"/>
    </w:rPr>
  </w:style>
  <w:style w:type="paragraph" w:styleId="EndnoteText">
    <w:name w:val="endnote text"/>
    <w:basedOn w:val="Normal"/>
    <w:link w:val="EndnoteTextChar"/>
    <w:uiPriority w:val="99"/>
    <w:semiHidden/>
    <w:unhideWhenUsed/>
    <w:rsid w:val="00EB29E5"/>
    <w:pPr>
      <w:tabs>
        <w:tab w:val="clear" w:pos="1440"/>
        <w:tab w:val="clear" w:pos="4320"/>
        <w:tab w:val="clear" w:pos="9072"/>
      </w:tabs>
      <w:snapToGrid/>
      <w:spacing w:after="200" w:line="276" w:lineRule="auto"/>
    </w:pPr>
    <w:rPr>
      <w:sz w:val="20"/>
    </w:rPr>
  </w:style>
  <w:style w:type="paragraph" w:customStyle="1" w:styleId="ar-draft">
    <w:name w:val="ar-draft"/>
    <w:basedOn w:val="Normal"/>
    <w:rsid w:val="00EB29E5"/>
    <w:pPr>
      <w:numPr>
        <w:numId w:val="3"/>
      </w:numPr>
      <w:tabs>
        <w:tab w:val="clear" w:pos="360"/>
        <w:tab w:val="clear" w:pos="4320"/>
        <w:tab w:val="clear" w:pos="9072"/>
      </w:tabs>
      <w:spacing w:before="360" w:line="360" w:lineRule="auto"/>
    </w:pPr>
    <w:rPr>
      <w:rFonts w:eastAsia="MingLiU"/>
    </w:rPr>
  </w:style>
  <w:style w:type="paragraph" w:customStyle="1" w:styleId="raph">
    <w:name w:val=".raph"/>
    <w:basedOn w:val="ListParagraph"/>
    <w:rsid w:val="00176C73"/>
    <w:pPr>
      <w:tabs>
        <w:tab w:val="clear" w:pos="1440"/>
        <w:tab w:val="clear" w:pos="4320"/>
        <w:tab w:val="clear" w:pos="9072"/>
      </w:tabs>
      <w:snapToGrid/>
      <w:spacing w:line="360" w:lineRule="auto"/>
      <w:ind w:left="0"/>
      <w:jc w:val="both"/>
    </w:pPr>
    <w:rPr>
      <w:szCs w:val="28"/>
      <w:lang w:val="en-US"/>
    </w:rPr>
  </w:style>
  <w:style w:type="paragraph" w:customStyle="1" w:styleId="Default">
    <w:name w:val="Default"/>
    <w:rsid w:val="00176C73"/>
    <w:pPr>
      <w:autoSpaceDE w:val="0"/>
      <w:autoSpaceDN w:val="0"/>
      <w:adjustRightInd w:val="0"/>
    </w:pPr>
    <w:rPr>
      <w:rFonts w:ascii="IZQPDC+TimesNewRomanPSMT" w:eastAsia="IZQPDC+TimesNewRomanPSMT" w:cs="IZQPDC+TimesNewRomanPSMT"/>
      <w:color w:val="000000"/>
      <w:sz w:val="24"/>
      <w:szCs w:val="24"/>
    </w:rPr>
  </w:style>
  <w:style w:type="paragraph" w:customStyle="1" w:styleId="CM13">
    <w:name w:val="CM13"/>
    <w:basedOn w:val="Default"/>
    <w:next w:val="Default"/>
    <w:uiPriority w:val="99"/>
    <w:rsid w:val="00176C73"/>
    <w:rPr>
      <w:rFonts w:cs="Times New Roman"/>
      <w:color w:val="auto"/>
    </w:rPr>
  </w:style>
  <w:style w:type="paragraph" w:customStyle="1" w:styleId="PARA-CONT">
    <w:name w:val="PARA-CON'T"/>
    <w:basedOn w:val="para"/>
    <w:next w:val="para"/>
    <w:rsid w:val="00176C73"/>
    <w:pPr>
      <w:numPr>
        <w:numId w:val="0"/>
      </w:numPr>
      <w:spacing w:before="240"/>
    </w:pPr>
    <w:rPr>
      <w:lang w:val="en-US"/>
    </w:rPr>
  </w:style>
  <w:style w:type="paragraph" w:customStyle="1" w:styleId="points">
    <w:name w:val="points"/>
    <w:basedOn w:val="para"/>
    <w:rsid w:val="00176C73"/>
    <w:pPr>
      <w:numPr>
        <w:numId w:val="0"/>
      </w:numPr>
      <w:tabs>
        <w:tab w:val="left" w:pos="1400"/>
        <w:tab w:val="left" w:pos="1960"/>
      </w:tabs>
      <w:spacing w:before="120"/>
      <w:ind w:left="1417" w:hanging="680"/>
    </w:pPr>
    <w:rPr>
      <w:lang w:val="en-US"/>
    </w:rPr>
  </w:style>
  <w:style w:type="paragraph" w:customStyle="1" w:styleId="CM163">
    <w:name w:val="CM16+3"/>
    <w:basedOn w:val="Normal"/>
    <w:next w:val="Normal"/>
    <w:uiPriority w:val="99"/>
    <w:rsid w:val="00176C73"/>
    <w:pPr>
      <w:tabs>
        <w:tab w:val="clear" w:pos="1440"/>
        <w:tab w:val="clear" w:pos="4320"/>
        <w:tab w:val="clear" w:pos="9072"/>
      </w:tabs>
      <w:autoSpaceDE w:val="0"/>
      <w:autoSpaceDN w:val="0"/>
      <w:adjustRightInd w:val="0"/>
      <w:snapToGrid/>
    </w:pPr>
    <w:rPr>
      <w:rFonts w:ascii="UAEPGK+CourierNewPSMT" w:eastAsia="UAEPGK+CourierNewPSMT" w:hAnsi="Calibri"/>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harling%20WL%20Chan\Desktop\new%20template%20since%201.2.12\lunn%20(use%20Ms%20for%20all%20Mrs%20and%20Miss)\CACC-Lun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8E441-7A0B-4EF9-9DA4-0797B6C2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CACC-Lunn (2).dotx</Template>
  <TotalTime>3</TotalTime>
  <Pages>74</Pages>
  <Words>16802</Words>
  <Characters>95773</Characters>
  <Application>Microsoft Office Word</Application>
  <DocSecurity>0</DocSecurity>
  <Lines>798</Lines>
  <Paragraphs>224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CACV</vt:lpstr>
      <vt:lpstr>HONG KONG SPECIAL ADMINISTRATIVE REGION</vt:lpstr>
      <vt:lpstr>COURT OF APPEAL</vt:lpstr>
    </vt:vector>
  </TitlesOfParts>
  <Company>Judiciary</Company>
  <LinksUpToDate>false</LinksUpToDate>
  <CharactersWithSpaces>112351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CACV</dc:title>
  <dc:creator>Judiciary</dc:creator>
  <cp:lastModifiedBy>Judiciary</cp:lastModifiedBy>
  <cp:revision>4</cp:revision>
  <cp:lastPrinted>2015-05-13T01:09:00Z</cp:lastPrinted>
  <dcterms:created xsi:type="dcterms:W3CDTF">2015-05-11T09:53:00Z</dcterms:created>
  <dcterms:modified xsi:type="dcterms:W3CDTF">2015-05-13T01:09:00Z</dcterms:modified>
</cp:coreProperties>
</file>